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b/>
          <w:color w:val="000000"/>
          <w:kern w:val="0"/>
          <w:sz w:val="44"/>
          <w:szCs w:val="44"/>
        </w:rPr>
      </w:pPr>
      <w:r>
        <w:rPr>
          <w:rFonts w:hint="eastAsia" w:ascii="黑体" w:hAnsi="宋体" w:eastAsia="黑体"/>
          <w:b/>
          <w:color w:val="000000"/>
          <w:kern w:val="0"/>
          <w:sz w:val="44"/>
          <w:szCs w:val="44"/>
        </w:rPr>
        <w:t>中国海洋大学理工科教学科研单位</w:t>
      </w:r>
    </w:p>
    <w:p>
      <w:pPr>
        <w:spacing w:line="360" w:lineRule="auto"/>
        <w:jc w:val="center"/>
        <w:rPr>
          <w:rFonts w:ascii="黑体" w:hAnsi="宋体" w:eastAsia="黑体"/>
          <w:b/>
          <w:color w:val="000000"/>
          <w:kern w:val="0"/>
          <w:sz w:val="44"/>
          <w:szCs w:val="44"/>
        </w:rPr>
      </w:pPr>
      <w:r>
        <w:rPr>
          <w:rFonts w:hint="eastAsia" w:ascii="黑体" w:hAnsi="宋体" w:eastAsia="黑体"/>
          <w:b/>
          <w:color w:val="000000"/>
          <w:kern w:val="0"/>
          <w:sz w:val="44"/>
          <w:szCs w:val="44"/>
        </w:rPr>
        <w:t>顶尖期刊和权威期刊目录</w:t>
      </w:r>
    </w:p>
    <w:p>
      <w:pPr>
        <w:spacing w:line="360" w:lineRule="auto"/>
        <w:jc w:val="center"/>
        <w:rPr>
          <w:rFonts w:ascii="黑体" w:hAnsi="宋体" w:eastAsia="黑体"/>
          <w:color w:val="FF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宋体" w:eastAsia="黑体"/>
          <w:color w:val="000000"/>
          <w:kern w:val="0"/>
          <w:sz w:val="44"/>
          <w:szCs w:val="44"/>
        </w:rPr>
      </w:pPr>
    </w:p>
    <w:p>
      <w:pPr>
        <w:spacing w:line="360" w:lineRule="auto"/>
        <w:jc w:val="center"/>
        <w:rPr>
          <w:rFonts w:ascii="黑体" w:hAnsi="黑体" w:eastAsia="黑体"/>
          <w:sz w:val="36"/>
          <w:u w:val="single"/>
        </w:rPr>
      </w:pPr>
      <w:r>
        <w:rPr>
          <w:rFonts w:hint="eastAsia" w:ascii="黑体" w:hAnsi="黑体" w:eastAsia="黑体"/>
          <w:sz w:val="36"/>
        </w:rPr>
        <w:t>单位名称：</w:t>
      </w:r>
      <w:r>
        <w:rPr>
          <w:rFonts w:hint="eastAsia" w:ascii="黑体" w:hAnsi="黑体" w:eastAsia="黑体"/>
          <w:sz w:val="36"/>
          <w:u w:val="single"/>
        </w:rPr>
        <w:t xml:space="preserve">  材料科学与工程学院  </w:t>
      </w:r>
      <w:r>
        <w:rPr>
          <w:rFonts w:hint="eastAsia" w:ascii="黑体" w:hAnsi="黑体" w:eastAsia="黑体"/>
          <w:color w:val="FFFFFF"/>
          <w:sz w:val="36"/>
          <w:u w:val="single"/>
        </w:rPr>
        <w:t>.</w:t>
      </w:r>
    </w:p>
    <w:p>
      <w:pPr>
        <w:spacing w:line="360" w:lineRule="auto"/>
        <w:jc w:val="left"/>
        <w:rPr>
          <w:rFonts w:ascii="黑体" w:hAnsi="黑体" w:eastAsia="黑体"/>
          <w:sz w:val="36"/>
        </w:rPr>
      </w:pPr>
    </w:p>
    <w:p>
      <w:pPr>
        <w:spacing w:line="360" w:lineRule="auto"/>
        <w:jc w:val="left"/>
        <w:rPr>
          <w:rFonts w:ascii="黑体" w:hAnsi="黑体" w:eastAsia="黑体"/>
          <w:sz w:val="36"/>
        </w:rPr>
      </w:pPr>
    </w:p>
    <w:p>
      <w:pPr>
        <w:spacing w:line="360" w:lineRule="auto"/>
        <w:jc w:val="center"/>
        <w:rPr>
          <w:rFonts w:ascii="黑体" w:hAnsi="黑体" w:eastAsia="黑体"/>
          <w:sz w:val="36"/>
        </w:rPr>
      </w:pPr>
    </w:p>
    <w:p>
      <w:pPr>
        <w:spacing w:line="360" w:lineRule="auto"/>
        <w:jc w:val="center"/>
        <w:rPr>
          <w:rFonts w:ascii="黑体" w:hAnsi="黑体" w:eastAsia="黑体"/>
          <w:sz w:val="36"/>
        </w:rPr>
      </w:pPr>
      <w:r>
        <w:rPr>
          <w:rFonts w:hint="eastAsia" w:ascii="黑体" w:hAnsi="黑体" w:eastAsia="黑体"/>
          <w:sz w:val="36"/>
        </w:rPr>
        <w:t>填报日期：</w:t>
      </w:r>
      <w:r>
        <w:rPr>
          <w:rFonts w:hint="eastAsia" w:ascii="黑体" w:hAnsi="黑体" w:eastAsia="黑体"/>
          <w:sz w:val="36"/>
          <w:lang w:val="en-US" w:eastAsia="zh-CN"/>
        </w:rPr>
        <w:t>2019</w:t>
      </w:r>
      <w:r>
        <w:rPr>
          <w:rFonts w:hint="eastAsia" w:ascii="黑体" w:hAnsi="黑体" w:eastAsia="黑体"/>
          <w:sz w:val="36"/>
        </w:rPr>
        <w:t xml:space="preserve">年 </w:t>
      </w:r>
      <w:bookmarkStart w:id="0" w:name="_GoBack"/>
      <w:bookmarkEnd w:id="0"/>
      <w:r>
        <w:rPr>
          <w:rFonts w:hint="eastAsia" w:ascii="黑体" w:hAnsi="黑体" w:eastAsia="黑体"/>
          <w:sz w:val="36"/>
          <w:lang w:val="en-US" w:eastAsia="zh-CN"/>
        </w:rPr>
        <w:t>7</w:t>
      </w:r>
      <w:r>
        <w:rPr>
          <w:rFonts w:hint="eastAsia" w:ascii="黑体" w:hAnsi="黑体" w:eastAsia="黑体"/>
          <w:sz w:val="36"/>
        </w:rPr>
        <w:t xml:space="preserve">月 </w:t>
      </w:r>
      <w:r>
        <w:rPr>
          <w:rFonts w:hint="eastAsia" w:ascii="黑体" w:hAnsi="黑体" w:eastAsia="黑体"/>
          <w:sz w:val="36"/>
          <w:lang w:val="en-US" w:eastAsia="zh-CN"/>
        </w:rPr>
        <w:t>10</w:t>
      </w:r>
      <w:r>
        <w:rPr>
          <w:rFonts w:hint="eastAsia" w:ascii="黑体" w:hAnsi="黑体" w:eastAsia="黑体"/>
          <w:sz w:val="36"/>
        </w:rPr>
        <w:t>日</w:t>
      </w:r>
    </w:p>
    <w:p>
      <w:pPr>
        <w:spacing w:line="360" w:lineRule="auto"/>
        <w:rPr>
          <w:rFonts w:ascii="黑体" w:hAnsi="黑体" w:eastAsia="黑体"/>
          <w:sz w:val="24"/>
        </w:rPr>
      </w:pPr>
    </w:p>
    <w:p>
      <w:pPr>
        <w:spacing w:line="360" w:lineRule="auto"/>
        <w:jc w:val="center"/>
        <w:rPr>
          <w:rFonts w:ascii="黑体" w:hAnsi="黑体" w:eastAsia="黑体"/>
          <w:sz w:val="36"/>
        </w:rPr>
      </w:pPr>
    </w:p>
    <w:p>
      <w:pPr>
        <w:spacing w:line="360" w:lineRule="auto"/>
        <w:jc w:val="center"/>
        <w:rPr>
          <w:rFonts w:ascii="黑体" w:hAnsi="黑体" w:eastAsia="黑体"/>
          <w:sz w:val="36"/>
        </w:rPr>
      </w:pPr>
    </w:p>
    <w:p>
      <w:pPr>
        <w:spacing w:line="360" w:lineRule="auto"/>
        <w:jc w:val="center"/>
        <w:rPr>
          <w:rFonts w:ascii="黑体" w:eastAsia="黑体"/>
          <w:sz w:val="36"/>
        </w:rPr>
      </w:pPr>
    </w:p>
    <w:p>
      <w:pPr>
        <w:spacing w:line="360" w:lineRule="auto"/>
        <w:jc w:val="center"/>
        <w:rPr>
          <w:rFonts w:ascii="黑体" w:eastAsia="黑体"/>
          <w:sz w:val="36"/>
        </w:rPr>
      </w:pPr>
    </w:p>
    <w:p>
      <w:pPr>
        <w:spacing w:line="360" w:lineRule="auto"/>
        <w:jc w:val="center"/>
        <w:rPr>
          <w:rFonts w:ascii="黑体" w:eastAsia="黑体"/>
          <w:sz w:val="36"/>
        </w:rPr>
      </w:pPr>
    </w:p>
    <w:p>
      <w:pPr>
        <w:snapToGrid w:val="0"/>
        <w:spacing w:line="480" w:lineRule="exact"/>
        <w:jc w:val="center"/>
        <w:rPr>
          <w:rFonts w:ascii="黑体" w:eastAsia="黑体"/>
          <w:b/>
          <w:sz w:val="36"/>
        </w:rPr>
      </w:pPr>
      <w:r>
        <w:rPr>
          <w:rFonts w:hint="eastAsia" w:ascii="黑体" w:eastAsia="黑体"/>
          <w:b/>
          <w:sz w:val="36"/>
        </w:rPr>
        <w:t>填表说明</w:t>
      </w:r>
    </w:p>
    <w:p>
      <w:pPr>
        <w:snapToGrid w:val="0"/>
        <w:spacing w:line="480" w:lineRule="exact"/>
        <w:jc w:val="center"/>
        <w:rPr>
          <w:rFonts w:ascii="黑体" w:eastAsia="黑体"/>
          <w:b/>
          <w:sz w:val="36"/>
        </w:rPr>
      </w:pPr>
    </w:p>
    <w:p>
      <w:pPr>
        <w:snapToGrid w:val="0"/>
        <w:spacing w:line="480" w:lineRule="exact"/>
        <w:ind w:firstLine="643" w:firstLineChars="200"/>
        <w:rPr>
          <w:rFonts w:ascii="宋体" w:hAnsi="宋体"/>
          <w:b/>
          <w:sz w:val="32"/>
          <w:szCs w:val="32"/>
        </w:rPr>
      </w:pPr>
      <w:r>
        <w:rPr>
          <w:rFonts w:hint="eastAsia" w:ascii="宋体" w:hAnsi="宋体"/>
          <w:b/>
          <w:sz w:val="32"/>
          <w:szCs w:val="32"/>
        </w:rPr>
        <w:t>“顶尖期刊和权威期刊目录”作为论文水平评价的重要标准，事关学校事业长远发展，“目录”制定是否合理将影响青年英才引进质量和学校现有教师队伍的活力和水平。</w:t>
      </w:r>
    </w:p>
    <w:p>
      <w:pPr>
        <w:snapToGrid w:val="0"/>
        <w:spacing w:line="480" w:lineRule="exact"/>
        <w:ind w:firstLine="645"/>
        <w:rPr>
          <w:rFonts w:ascii="宋体" w:hAnsi="宋体"/>
          <w:b/>
          <w:sz w:val="32"/>
          <w:szCs w:val="32"/>
        </w:rPr>
      </w:pPr>
      <w:r>
        <w:rPr>
          <w:rFonts w:hint="eastAsia" w:ascii="宋体" w:hAnsi="宋体"/>
          <w:b/>
          <w:sz w:val="32"/>
          <w:szCs w:val="32"/>
        </w:rPr>
        <w:t>1.“目录”原则上以学院或一级学科制定，若一级学科下设的多个二级学科差异较大，根据需要可按二级学科提出。</w:t>
      </w:r>
    </w:p>
    <w:p>
      <w:pPr>
        <w:snapToGrid w:val="0"/>
        <w:spacing w:line="480" w:lineRule="exact"/>
        <w:ind w:firstLine="643" w:firstLineChars="200"/>
        <w:rPr>
          <w:rFonts w:ascii="宋体" w:hAnsi="宋体"/>
          <w:b/>
          <w:sz w:val="32"/>
          <w:szCs w:val="32"/>
        </w:rPr>
      </w:pPr>
      <w:r>
        <w:rPr>
          <w:rFonts w:hint="eastAsia" w:ascii="宋体" w:hAnsi="宋体"/>
          <w:b/>
          <w:sz w:val="32"/>
          <w:szCs w:val="32"/>
        </w:rPr>
        <w:t>2.对于期刊水平，制定的总体指导原则是：一般应以中科院JCR期刊分区的小类一、二区为参照或完全使用小类一、二区（根据校</w:t>
      </w:r>
      <w:r>
        <w:rPr>
          <w:rFonts w:ascii="宋体" w:hAnsi="宋体"/>
          <w:b/>
          <w:sz w:val="32"/>
          <w:szCs w:val="32"/>
        </w:rPr>
        <w:t>学术委员会</w:t>
      </w:r>
      <w:r>
        <w:rPr>
          <w:rFonts w:hint="eastAsia" w:ascii="宋体" w:hAnsi="宋体"/>
          <w:b/>
          <w:sz w:val="32"/>
          <w:szCs w:val="32"/>
        </w:rPr>
        <w:t>建议，为避免不同单位相近学科之间产生较大差异，建议各单位统一使用小类分区，不使用大类分区或混合使用）。</w:t>
      </w:r>
      <w:r>
        <w:rPr>
          <w:rFonts w:ascii="宋体" w:hAnsi="宋体"/>
          <w:b/>
          <w:sz w:val="32"/>
          <w:szCs w:val="32"/>
        </w:rPr>
        <w:t>小类一区</w:t>
      </w:r>
      <w:r>
        <w:rPr>
          <w:rFonts w:hint="eastAsia" w:ascii="宋体" w:hAnsi="宋体"/>
          <w:b/>
          <w:sz w:val="32"/>
          <w:szCs w:val="32"/>
        </w:rPr>
        <w:t>期刊</w:t>
      </w:r>
      <w:r>
        <w:rPr>
          <w:rFonts w:ascii="宋体" w:hAnsi="宋体"/>
          <w:b/>
          <w:sz w:val="32"/>
          <w:szCs w:val="32"/>
        </w:rPr>
        <w:t>应</w:t>
      </w:r>
      <w:r>
        <w:rPr>
          <w:rFonts w:hint="eastAsia" w:ascii="宋体" w:hAnsi="宋体"/>
          <w:b/>
          <w:sz w:val="32"/>
          <w:szCs w:val="32"/>
        </w:rPr>
        <w:t>列入</w:t>
      </w:r>
      <w:r>
        <w:rPr>
          <w:rFonts w:ascii="宋体" w:hAnsi="宋体"/>
          <w:b/>
          <w:sz w:val="32"/>
          <w:szCs w:val="32"/>
        </w:rPr>
        <w:t>顶尖</w:t>
      </w:r>
      <w:r>
        <w:rPr>
          <w:rFonts w:hint="eastAsia" w:ascii="宋体" w:hAnsi="宋体"/>
          <w:b/>
          <w:sz w:val="32"/>
          <w:szCs w:val="32"/>
        </w:rPr>
        <w:t>期刊目录</w:t>
      </w:r>
      <w:r>
        <w:rPr>
          <w:rFonts w:ascii="宋体" w:hAnsi="宋体"/>
          <w:b/>
          <w:sz w:val="32"/>
          <w:szCs w:val="32"/>
        </w:rPr>
        <w:t>，小类二区期刊应</w:t>
      </w:r>
      <w:r>
        <w:rPr>
          <w:rFonts w:hint="eastAsia" w:ascii="宋体" w:hAnsi="宋体"/>
          <w:b/>
          <w:sz w:val="32"/>
          <w:szCs w:val="32"/>
        </w:rPr>
        <w:t>列入</w:t>
      </w:r>
      <w:r>
        <w:rPr>
          <w:rFonts w:ascii="宋体" w:hAnsi="宋体"/>
          <w:b/>
          <w:sz w:val="32"/>
          <w:szCs w:val="32"/>
        </w:rPr>
        <w:t>权威</w:t>
      </w:r>
      <w:r>
        <w:rPr>
          <w:rFonts w:hint="eastAsia" w:ascii="宋体" w:hAnsi="宋体"/>
          <w:b/>
          <w:sz w:val="32"/>
          <w:szCs w:val="32"/>
        </w:rPr>
        <w:t>期刊目录。</w:t>
      </w:r>
    </w:p>
    <w:p>
      <w:pPr>
        <w:snapToGrid w:val="0"/>
        <w:spacing w:line="480" w:lineRule="exact"/>
        <w:ind w:firstLine="643" w:firstLineChars="200"/>
        <w:rPr>
          <w:rFonts w:ascii="宋体" w:hAnsi="宋体"/>
          <w:b/>
          <w:sz w:val="32"/>
          <w:szCs w:val="32"/>
        </w:rPr>
      </w:pPr>
      <w:r>
        <w:rPr>
          <w:rFonts w:hint="eastAsia" w:ascii="宋体" w:hAnsi="宋体"/>
          <w:b/>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Pr>
          <w:rFonts w:ascii="宋体" w:hAnsi="宋体"/>
          <w:b/>
          <w:sz w:val="32"/>
          <w:szCs w:val="32"/>
        </w:rPr>
        <w:t>逐条</w:t>
      </w:r>
      <w:r>
        <w:rPr>
          <w:rFonts w:hint="eastAsia" w:ascii="宋体" w:hAnsi="宋体"/>
          <w:b/>
          <w:sz w:val="32"/>
          <w:szCs w:val="32"/>
        </w:rPr>
        <w:t>说明原因。原则上</w:t>
      </w:r>
      <w:r>
        <w:rPr>
          <w:rFonts w:ascii="宋体" w:hAnsi="宋体"/>
          <w:b/>
          <w:sz w:val="32"/>
          <w:szCs w:val="32"/>
        </w:rPr>
        <w:t>，</w:t>
      </w:r>
      <w:r>
        <w:rPr>
          <w:rFonts w:hint="eastAsia" w:ascii="宋体" w:hAnsi="宋体"/>
          <w:b/>
          <w:sz w:val="32"/>
          <w:szCs w:val="32"/>
        </w:rPr>
        <w:t>小类</w:t>
      </w:r>
      <w:r>
        <w:rPr>
          <w:rFonts w:ascii="宋体" w:hAnsi="宋体"/>
          <w:b/>
          <w:sz w:val="32"/>
          <w:szCs w:val="32"/>
        </w:rPr>
        <w:t>三区期刊</w:t>
      </w:r>
      <w:r>
        <w:rPr>
          <w:rFonts w:hint="eastAsia" w:ascii="宋体" w:hAnsi="宋体"/>
          <w:b/>
          <w:sz w:val="32"/>
          <w:szCs w:val="32"/>
        </w:rPr>
        <w:t>及学术会议期刊</w:t>
      </w:r>
      <w:r>
        <w:rPr>
          <w:rFonts w:ascii="宋体" w:hAnsi="宋体"/>
          <w:b/>
          <w:sz w:val="32"/>
          <w:szCs w:val="32"/>
        </w:rPr>
        <w:t>不能</w:t>
      </w:r>
      <w:r>
        <w:rPr>
          <w:rFonts w:hint="eastAsia" w:ascii="宋体" w:hAnsi="宋体"/>
          <w:b/>
          <w:sz w:val="32"/>
          <w:szCs w:val="32"/>
        </w:rPr>
        <w:t>列入</w:t>
      </w:r>
      <w:r>
        <w:rPr>
          <w:rFonts w:ascii="宋体" w:hAnsi="宋体"/>
          <w:b/>
          <w:sz w:val="32"/>
          <w:szCs w:val="32"/>
        </w:rPr>
        <w:t>顶尖</w:t>
      </w:r>
      <w:r>
        <w:rPr>
          <w:rFonts w:hint="eastAsia" w:ascii="宋体" w:hAnsi="宋体"/>
          <w:b/>
          <w:sz w:val="32"/>
          <w:szCs w:val="32"/>
        </w:rPr>
        <w:t>期刊；</w:t>
      </w:r>
      <w:r>
        <w:rPr>
          <w:rFonts w:ascii="宋体" w:hAnsi="宋体"/>
          <w:b/>
          <w:sz w:val="32"/>
          <w:szCs w:val="32"/>
        </w:rPr>
        <w:t>小类四区</w:t>
      </w:r>
      <w:r>
        <w:rPr>
          <w:rFonts w:hint="eastAsia" w:ascii="宋体" w:hAnsi="宋体"/>
          <w:b/>
          <w:sz w:val="32"/>
          <w:szCs w:val="32"/>
        </w:rPr>
        <w:t>、非</w:t>
      </w:r>
      <w:r>
        <w:rPr>
          <w:rFonts w:ascii="宋体" w:hAnsi="宋体"/>
          <w:b/>
          <w:sz w:val="32"/>
          <w:szCs w:val="32"/>
        </w:rPr>
        <w:t>SCI期刊</w:t>
      </w:r>
      <w:r>
        <w:rPr>
          <w:rFonts w:hint="eastAsia" w:ascii="宋体" w:hAnsi="宋体"/>
          <w:b/>
          <w:sz w:val="32"/>
          <w:szCs w:val="32"/>
        </w:rPr>
        <w:t>及学术</w:t>
      </w:r>
      <w:r>
        <w:rPr>
          <w:rFonts w:ascii="宋体" w:hAnsi="宋体"/>
          <w:b/>
          <w:sz w:val="32"/>
          <w:szCs w:val="32"/>
        </w:rPr>
        <w:t>会议</w:t>
      </w:r>
      <w:r>
        <w:rPr>
          <w:rFonts w:hint="eastAsia" w:ascii="宋体" w:hAnsi="宋体"/>
          <w:b/>
          <w:sz w:val="32"/>
          <w:szCs w:val="32"/>
        </w:rPr>
        <w:t>期刊</w:t>
      </w:r>
      <w:r>
        <w:rPr>
          <w:rFonts w:ascii="宋体" w:hAnsi="宋体"/>
          <w:b/>
          <w:sz w:val="32"/>
          <w:szCs w:val="32"/>
        </w:rPr>
        <w:t>不能</w:t>
      </w:r>
      <w:r>
        <w:rPr>
          <w:rFonts w:hint="eastAsia" w:ascii="宋体" w:hAnsi="宋体"/>
          <w:b/>
          <w:sz w:val="32"/>
          <w:szCs w:val="32"/>
        </w:rPr>
        <w:t>列入</w:t>
      </w:r>
      <w:r>
        <w:rPr>
          <w:rFonts w:ascii="宋体" w:hAnsi="宋体"/>
          <w:b/>
          <w:sz w:val="32"/>
          <w:szCs w:val="32"/>
        </w:rPr>
        <w:t>权威</w:t>
      </w:r>
      <w:r>
        <w:rPr>
          <w:rFonts w:hint="eastAsia" w:ascii="宋体" w:hAnsi="宋体"/>
          <w:b/>
          <w:sz w:val="32"/>
          <w:szCs w:val="32"/>
        </w:rPr>
        <w:t>期刊</w:t>
      </w:r>
      <w:r>
        <w:rPr>
          <w:rFonts w:ascii="宋体" w:hAnsi="宋体"/>
          <w:b/>
          <w:sz w:val="32"/>
          <w:szCs w:val="32"/>
        </w:rPr>
        <w:t>。</w:t>
      </w:r>
    </w:p>
    <w:p>
      <w:pPr>
        <w:snapToGrid w:val="0"/>
        <w:spacing w:line="480" w:lineRule="exact"/>
        <w:ind w:firstLine="643" w:firstLineChars="200"/>
        <w:rPr>
          <w:rFonts w:ascii="宋体" w:hAnsi="宋体"/>
          <w:b/>
          <w:sz w:val="32"/>
          <w:szCs w:val="32"/>
        </w:rPr>
      </w:pPr>
      <w:r>
        <w:rPr>
          <w:rFonts w:ascii="宋体" w:hAnsi="宋体"/>
          <w:b/>
          <w:sz w:val="32"/>
          <w:szCs w:val="32"/>
        </w:rPr>
        <w:t>3</w:t>
      </w:r>
      <w:r>
        <w:rPr>
          <w:rFonts w:hint="eastAsia" w:ascii="宋体" w:hAnsi="宋体"/>
          <w:b/>
          <w:sz w:val="32"/>
          <w:szCs w:val="32"/>
        </w:rPr>
        <w:t>.期刊影响因子和小类分区以论文发表当年状态为准，如最新发表暂未公布的，则以上一年状态</w:t>
      </w:r>
      <w:r>
        <w:rPr>
          <w:rFonts w:ascii="宋体" w:hAnsi="宋体"/>
          <w:b/>
          <w:sz w:val="32"/>
          <w:szCs w:val="32"/>
        </w:rPr>
        <w:t>为准。</w:t>
      </w:r>
    </w:p>
    <w:p>
      <w:pPr>
        <w:snapToGrid w:val="0"/>
        <w:spacing w:line="480" w:lineRule="exact"/>
        <w:ind w:firstLine="645"/>
        <w:rPr>
          <w:rFonts w:ascii="宋体" w:hAnsi="宋体"/>
          <w:b/>
          <w:sz w:val="32"/>
          <w:szCs w:val="32"/>
        </w:rPr>
      </w:pPr>
      <w:r>
        <w:rPr>
          <w:rFonts w:ascii="宋体" w:hAnsi="宋体"/>
          <w:b/>
          <w:sz w:val="32"/>
          <w:szCs w:val="32"/>
        </w:rPr>
        <w:t>4</w:t>
      </w:r>
      <w:r>
        <w:rPr>
          <w:rFonts w:hint="eastAsia" w:ascii="宋体" w:hAnsi="宋体"/>
          <w:b/>
          <w:sz w:val="32"/>
          <w:szCs w:val="32"/>
        </w:rPr>
        <w:t>.“目录”要科学、合理、可行，一定时期内保持相对稳定。确需调整的</w:t>
      </w:r>
      <w:r>
        <w:rPr>
          <w:rFonts w:ascii="宋体" w:hAnsi="宋体"/>
          <w:b/>
          <w:sz w:val="32"/>
          <w:szCs w:val="32"/>
        </w:rPr>
        <w:t>，</w:t>
      </w:r>
      <w:r>
        <w:rPr>
          <w:rFonts w:hint="eastAsia" w:ascii="宋体" w:hAnsi="宋体"/>
          <w:b/>
          <w:sz w:val="32"/>
          <w:szCs w:val="32"/>
        </w:rPr>
        <w:t>由学院学术分委员会提出建议，报校学术委员会审议批准通过</w:t>
      </w:r>
      <w:r>
        <w:rPr>
          <w:rFonts w:ascii="宋体" w:hAnsi="宋体"/>
          <w:b/>
          <w:sz w:val="32"/>
          <w:szCs w:val="32"/>
        </w:rPr>
        <w:t>。</w:t>
      </w:r>
    </w:p>
    <w:p>
      <w:pPr>
        <w:snapToGrid w:val="0"/>
        <w:spacing w:line="480" w:lineRule="exact"/>
        <w:ind w:firstLine="645"/>
        <w:rPr>
          <w:rFonts w:ascii="宋体" w:hAnsi="宋体"/>
          <w:b/>
          <w:sz w:val="32"/>
          <w:szCs w:val="32"/>
        </w:rPr>
      </w:pPr>
      <w:r>
        <w:rPr>
          <w:rFonts w:ascii="宋体" w:hAnsi="宋体"/>
          <w:b/>
          <w:sz w:val="32"/>
          <w:szCs w:val="32"/>
        </w:rPr>
        <w:t>5</w:t>
      </w:r>
      <w:r>
        <w:rPr>
          <w:rFonts w:hint="eastAsia" w:ascii="宋体" w:hAnsi="宋体"/>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pPr>
        <w:snapToGrid w:val="0"/>
        <w:spacing w:line="480" w:lineRule="exact"/>
        <w:ind w:firstLine="645"/>
        <w:rPr>
          <w:rFonts w:ascii="宋体" w:hAnsi="宋体"/>
          <w:b/>
          <w:sz w:val="32"/>
          <w:szCs w:val="32"/>
        </w:rPr>
      </w:pPr>
      <w:r>
        <w:rPr>
          <w:rFonts w:ascii="宋体" w:hAnsi="宋体"/>
          <w:b/>
          <w:sz w:val="32"/>
          <w:szCs w:val="32"/>
        </w:rPr>
        <w:t>6</w:t>
      </w:r>
      <w:r>
        <w:rPr>
          <w:rFonts w:hint="eastAsia" w:ascii="宋体" w:hAnsi="宋体"/>
          <w:b/>
          <w:sz w:val="32"/>
          <w:szCs w:val="32"/>
        </w:rPr>
        <w:t>.根据需要，各单位可对此表格适当调整。</w:t>
      </w:r>
    </w:p>
    <w:p>
      <w:pPr>
        <w:spacing w:line="360" w:lineRule="auto"/>
        <w:rPr>
          <w:rFonts w:eastAsia="黑体"/>
          <w:color w:val="000000"/>
          <w:sz w:val="36"/>
        </w:rPr>
      </w:pPr>
      <w:r>
        <w:rPr>
          <w:rFonts w:eastAsia="黑体"/>
          <w:color w:val="000000"/>
          <w:sz w:val="36"/>
        </w:rPr>
        <w:t>一、目录制定总体原则</w:t>
      </w:r>
    </w:p>
    <w:tbl>
      <w:tblPr>
        <w:tblStyle w:val="8"/>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3" w:hRule="atLeast"/>
        </w:trPr>
        <w:tc>
          <w:tcPr>
            <w:tcW w:w="9924" w:type="dxa"/>
            <w:vAlign w:val="center"/>
          </w:tcPr>
          <w:p>
            <w:pPr>
              <w:spacing w:line="360" w:lineRule="auto"/>
              <w:ind w:firstLine="480" w:firstLineChars="200"/>
              <w:jc w:val="left"/>
              <w:rPr>
                <w:sz w:val="24"/>
              </w:rPr>
            </w:pPr>
            <w:r>
              <w:rPr>
                <w:rFonts w:hint="eastAsia"/>
                <w:sz w:val="24"/>
              </w:rPr>
              <w:t>对于期刊水平，材料学院以中科院JCR期刊分区的小类一、二区为参照。根据本学科特点及高水平材料学科兄弟高校对发表论文的水平认可，本着实事求是的原则，此标准基础上特定出如下原则：</w:t>
            </w:r>
          </w:p>
          <w:p>
            <w:pPr>
              <w:numPr>
                <w:ilvl w:val="0"/>
                <w:numId w:val="1"/>
              </w:numPr>
              <w:spacing w:line="360" w:lineRule="auto"/>
              <w:jc w:val="left"/>
              <w:rPr>
                <w:sz w:val="24"/>
              </w:rPr>
            </w:pPr>
            <w:r>
              <w:rPr>
                <w:rFonts w:hint="eastAsia"/>
                <w:sz w:val="24"/>
              </w:rPr>
              <w:t>顶尖期刊：按照中科院分区中小类是一区及T</w:t>
            </w:r>
            <w:r>
              <w:rPr>
                <w:sz w:val="24"/>
              </w:rPr>
              <w:t>OP</w:t>
            </w:r>
            <w:r>
              <w:rPr>
                <w:rFonts w:hint="eastAsia"/>
                <w:sz w:val="24"/>
              </w:rPr>
              <w:t>期刊为顶尖期刊；</w:t>
            </w:r>
          </w:p>
          <w:p>
            <w:pPr>
              <w:spacing w:line="360" w:lineRule="auto"/>
              <w:ind w:firstLine="480" w:firstLineChars="200"/>
              <w:jc w:val="left"/>
              <w:rPr>
                <w:color w:val="000000"/>
                <w:sz w:val="24"/>
              </w:rPr>
            </w:pPr>
            <w:r>
              <w:rPr>
                <w:sz w:val="24"/>
              </w:rPr>
              <w:t>2、</w:t>
            </w:r>
            <w:r>
              <w:rPr>
                <w:rFonts w:hint="eastAsia"/>
                <w:sz w:val="24"/>
              </w:rPr>
              <w:t>权威期刊：按照中科院分区中小类是二区的期刊为权威期刊；</w:t>
            </w:r>
          </w:p>
        </w:tc>
      </w:tr>
    </w:tbl>
    <w:p>
      <w:pPr>
        <w:spacing w:line="360" w:lineRule="auto"/>
        <w:rPr>
          <w:rFonts w:eastAsia="黑体"/>
          <w:color w:val="000000"/>
          <w:sz w:val="36"/>
        </w:rPr>
      </w:pPr>
      <w:r>
        <w:rPr>
          <w:rFonts w:eastAsia="黑体"/>
          <w:color w:val="000000"/>
          <w:sz w:val="36"/>
        </w:rPr>
        <w:t>二、期刊目录</w:t>
      </w:r>
    </w:p>
    <w:p>
      <w:pPr>
        <w:spacing w:line="360" w:lineRule="auto"/>
        <w:rPr>
          <w:rFonts w:eastAsia="黑体"/>
          <w:color w:val="000000"/>
          <w:sz w:val="36"/>
        </w:rPr>
      </w:pPr>
      <w:r>
        <w:rPr>
          <w:rFonts w:eastAsia="黑体"/>
          <w:color w:val="000000"/>
          <w:sz w:val="36"/>
        </w:rPr>
        <w:t xml:space="preserve">1. </w:t>
      </w:r>
      <w:r>
        <w:rPr>
          <w:rFonts w:hint="eastAsia" w:ascii="黑体" w:eastAsia="黑体"/>
          <w:sz w:val="36"/>
        </w:rPr>
        <w:t>一级学科</w:t>
      </w:r>
    </w:p>
    <w:tbl>
      <w:tblPr>
        <w:tblStyle w:val="8"/>
        <w:tblW w:w="9923" w:type="dxa"/>
        <w:tblInd w:w="-176" w:type="dxa"/>
        <w:tblLayout w:type="fixed"/>
        <w:tblCellMar>
          <w:top w:w="0" w:type="dxa"/>
          <w:left w:w="108" w:type="dxa"/>
          <w:bottom w:w="0" w:type="dxa"/>
          <w:right w:w="108" w:type="dxa"/>
        </w:tblCellMar>
      </w:tblPr>
      <w:tblGrid>
        <w:gridCol w:w="993"/>
        <w:gridCol w:w="567"/>
        <w:gridCol w:w="851"/>
        <w:gridCol w:w="1842"/>
        <w:gridCol w:w="1134"/>
        <w:gridCol w:w="851"/>
        <w:gridCol w:w="3685"/>
      </w:tblGrid>
      <w:tr>
        <w:tblPrEx>
          <w:tblLayout w:type="fixed"/>
          <w:tblCellMar>
            <w:top w:w="0" w:type="dxa"/>
            <w:left w:w="108" w:type="dxa"/>
            <w:bottom w:w="0" w:type="dxa"/>
            <w:right w:w="108" w:type="dxa"/>
          </w:tblCellMar>
        </w:tblPrEx>
        <w:trPr>
          <w:trHeight w:val="159"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学科</w:t>
            </w:r>
          </w:p>
          <w:p>
            <w:pPr>
              <w:widowControl/>
              <w:jc w:val="center"/>
              <w:rPr>
                <w:bCs/>
                <w:color w:val="000000"/>
                <w:kern w:val="0"/>
                <w:sz w:val="24"/>
                <w:szCs w:val="24"/>
              </w:rPr>
            </w:pPr>
            <w:r>
              <w:rPr>
                <w:bCs/>
                <w:color w:val="000000"/>
                <w:kern w:val="0"/>
                <w:sz w:val="24"/>
                <w:szCs w:val="24"/>
              </w:rPr>
              <w:t>名称</w:t>
            </w:r>
          </w:p>
        </w:tc>
        <w:tc>
          <w:tcPr>
            <w:tcW w:w="89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FF0000"/>
                <w:kern w:val="0"/>
                <w:sz w:val="24"/>
                <w:szCs w:val="24"/>
              </w:rPr>
            </w:pPr>
            <w:r>
              <w:rPr>
                <w:rFonts w:hint="eastAsia" w:ascii="宋体" w:hAnsi="宋体" w:cs="宋体"/>
                <w:color w:val="000000"/>
                <w:kern w:val="0"/>
                <w:sz w:val="24"/>
                <w:szCs w:val="24"/>
              </w:rPr>
              <w:t>材料科学与工程</w:t>
            </w:r>
          </w:p>
        </w:tc>
      </w:tr>
      <w:tr>
        <w:tblPrEx>
          <w:tblLayout w:type="fixed"/>
          <w:tblCellMar>
            <w:top w:w="0" w:type="dxa"/>
            <w:left w:w="108" w:type="dxa"/>
            <w:bottom w:w="0" w:type="dxa"/>
            <w:right w:w="108" w:type="dxa"/>
          </w:tblCellMar>
        </w:tblPrEx>
        <w:trPr>
          <w:trHeight w:val="321"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该学科</w:t>
            </w:r>
          </w:p>
          <w:p>
            <w:pPr>
              <w:widowControl/>
              <w:jc w:val="center"/>
              <w:rPr>
                <w:bCs/>
                <w:color w:val="000000"/>
                <w:kern w:val="0"/>
                <w:sz w:val="24"/>
                <w:szCs w:val="24"/>
              </w:rPr>
            </w:pPr>
            <w:r>
              <w:rPr>
                <w:bCs/>
                <w:color w:val="000000"/>
                <w:kern w:val="0"/>
                <w:sz w:val="24"/>
                <w:szCs w:val="24"/>
              </w:rPr>
              <w:t>目录</w:t>
            </w:r>
          </w:p>
          <w:p>
            <w:pPr>
              <w:widowControl/>
              <w:jc w:val="center"/>
              <w:rPr>
                <w:bCs/>
                <w:color w:val="000000"/>
                <w:kern w:val="0"/>
                <w:sz w:val="24"/>
                <w:szCs w:val="24"/>
              </w:rPr>
            </w:pPr>
            <w:r>
              <w:rPr>
                <w:bCs/>
                <w:color w:val="000000"/>
                <w:kern w:val="0"/>
                <w:sz w:val="24"/>
                <w:szCs w:val="24"/>
              </w:rPr>
              <w:t>标准</w:t>
            </w:r>
          </w:p>
        </w:tc>
        <w:tc>
          <w:tcPr>
            <w:tcW w:w="8930" w:type="dxa"/>
            <w:gridSpan w:val="6"/>
            <w:tcBorders>
              <w:top w:val="single" w:color="auto" w:sz="4" w:space="0"/>
              <w:left w:val="nil"/>
              <w:bottom w:val="single" w:color="auto" w:sz="4" w:space="0"/>
              <w:right w:val="single" w:color="auto" w:sz="4" w:space="0"/>
            </w:tcBorders>
            <w:shd w:val="clear" w:color="auto" w:fill="auto"/>
            <w:noWrap/>
            <w:vAlign w:val="center"/>
          </w:tcPr>
          <w:p>
            <w:pPr>
              <w:spacing w:line="360" w:lineRule="auto"/>
              <w:jc w:val="left"/>
              <w:rPr>
                <w:sz w:val="24"/>
              </w:rPr>
            </w:pPr>
            <w:r>
              <w:rPr>
                <w:rFonts w:hint="eastAsia"/>
                <w:sz w:val="24"/>
              </w:rPr>
              <w:t>1、顶尖期刊：按照中科院分区中小类是一区及T</w:t>
            </w:r>
            <w:r>
              <w:rPr>
                <w:sz w:val="24"/>
              </w:rPr>
              <w:t>OP</w:t>
            </w:r>
            <w:r>
              <w:rPr>
                <w:rFonts w:hint="eastAsia"/>
                <w:sz w:val="24"/>
              </w:rPr>
              <w:t>期刊为顶尖期刊；</w:t>
            </w:r>
          </w:p>
          <w:p>
            <w:pPr>
              <w:widowControl/>
              <w:jc w:val="left"/>
              <w:rPr>
                <w:color w:val="000000"/>
                <w:sz w:val="24"/>
              </w:rPr>
            </w:pPr>
            <w:r>
              <w:rPr>
                <w:sz w:val="24"/>
              </w:rPr>
              <w:t>2、</w:t>
            </w:r>
            <w:r>
              <w:rPr>
                <w:rFonts w:hint="eastAsia"/>
                <w:sz w:val="24"/>
              </w:rPr>
              <w:t>权威期刊：按照中科院分区中小类是二区的期刊为权威期刊；</w:t>
            </w:r>
          </w:p>
        </w:tc>
      </w:tr>
      <w:tr>
        <w:tblPrEx>
          <w:tblLayout w:type="fixed"/>
          <w:tblCellMar>
            <w:top w:w="0" w:type="dxa"/>
            <w:left w:w="108" w:type="dxa"/>
            <w:bottom w:w="0" w:type="dxa"/>
            <w:right w:w="108" w:type="dxa"/>
          </w:tblCellMar>
        </w:tblPrEx>
        <w:trPr>
          <w:trHeight w:val="91"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color w:val="000000"/>
                <w:kern w:val="0"/>
                <w:sz w:val="24"/>
                <w:szCs w:val="24"/>
              </w:rPr>
            </w:pPr>
            <w:r>
              <w:rPr>
                <w:bCs/>
                <w:color w:val="000000"/>
                <w:kern w:val="0"/>
                <w:sz w:val="24"/>
                <w:szCs w:val="24"/>
              </w:rPr>
              <w:t>目录</w:t>
            </w:r>
          </w:p>
          <w:p>
            <w:pPr>
              <w:widowControl/>
              <w:snapToGrid w:val="0"/>
              <w:contextualSpacing/>
              <w:jc w:val="center"/>
              <w:rPr>
                <w:bCs/>
                <w:color w:val="000000"/>
                <w:kern w:val="0"/>
                <w:sz w:val="24"/>
                <w:szCs w:val="24"/>
              </w:rPr>
            </w:pPr>
            <w:r>
              <w:rPr>
                <w:bCs/>
                <w:color w:val="000000"/>
                <w:kern w:val="0"/>
                <w:sz w:val="24"/>
                <w:szCs w:val="24"/>
              </w:rPr>
              <w:t>列表</w:t>
            </w:r>
          </w:p>
          <w:p>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Pr>
                <w:bCs/>
                <w:color w:val="000000"/>
                <w:kern w:val="0"/>
                <w:sz w:val="24"/>
                <w:szCs w:val="24"/>
              </w:rPr>
              <w:t>期刊）</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期刊级别</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序号</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期刊名称</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Cs w:val="24"/>
              </w:rPr>
              <w:t>中科院小类分区</w:t>
            </w:r>
            <w:r>
              <w:rPr>
                <w:rFonts w:hint="eastAsia"/>
                <w:bCs/>
                <w:color w:val="000000"/>
                <w:kern w:val="0"/>
                <w:szCs w:val="24"/>
              </w:rPr>
              <w:t>/</w:t>
            </w:r>
            <w:r>
              <w:rPr>
                <w:bCs/>
                <w:color w:val="000000"/>
                <w:kern w:val="0"/>
                <w:szCs w:val="24"/>
              </w:rPr>
              <w:t>影响因子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kern w:val="0"/>
                <w:sz w:val="24"/>
                <w:szCs w:val="24"/>
              </w:rPr>
            </w:pPr>
            <w:r>
              <w:rPr>
                <w:rFonts w:hint="eastAsia"/>
                <w:bCs/>
                <w:color w:val="000000"/>
                <w:kern w:val="0"/>
                <w:sz w:val="24"/>
                <w:szCs w:val="24"/>
              </w:rPr>
              <w:t>调入/调出</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rFonts w:hint="eastAsia"/>
                <w:bCs/>
                <w:color w:val="000000"/>
                <w:kern w:val="0"/>
                <w:sz w:val="24"/>
                <w:szCs w:val="24"/>
              </w:rPr>
              <w:t>调整理由</w:t>
            </w: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4"/>
                <w:szCs w:val="24"/>
              </w:rPr>
            </w:pPr>
            <w:r>
              <w:rPr>
                <w:color w:val="000000"/>
                <w:kern w:val="0"/>
                <w:sz w:val="24"/>
                <w:szCs w:val="24"/>
              </w:rPr>
              <w:t>顶尖期刊</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color w:val="FF0000"/>
                <w:kern w:val="0"/>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FF0000"/>
                <w:kern w:val="0"/>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color w:val="FF0000"/>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FF0000"/>
                <w:kern w:val="0"/>
                <w:sz w:val="24"/>
                <w:szCs w:val="24"/>
              </w:rPr>
            </w:pP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FF0000"/>
                <w:kern w:val="0"/>
                <w:sz w:val="18"/>
                <w:szCs w:val="18"/>
              </w:rPr>
            </w:pP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FF0000"/>
                <w:kern w:val="0"/>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0"/>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color w:val="FF0000"/>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FF0000"/>
                <w:kern w:val="0"/>
                <w:sz w:val="24"/>
                <w:szCs w:val="24"/>
              </w:rPr>
            </w:pP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FF0000"/>
                <w:kern w:val="0"/>
                <w:sz w:val="18"/>
                <w:szCs w:val="18"/>
              </w:rPr>
            </w:pP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FF0000"/>
                <w:kern w:val="0"/>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color w:val="FF0000"/>
                <w:kern w:val="0"/>
                <w:sz w:val="24"/>
                <w:szCs w:val="24"/>
              </w:rPr>
            </w:pP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FF0000"/>
                <w:kern w:val="0"/>
                <w:sz w:val="24"/>
                <w:szCs w:val="24"/>
              </w:rPr>
            </w:pP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FF0000"/>
                <w:kern w:val="0"/>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color w:val="FF0000"/>
                <w:kern w:val="0"/>
                <w:sz w:val="24"/>
                <w:szCs w:val="24"/>
              </w:rPr>
            </w:pP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FF0000"/>
                <w:kern w:val="0"/>
                <w:sz w:val="24"/>
                <w:szCs w:val="24"/>
              </w:rPr>
            </w:pP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FF0000"/>
                <w:kern w:val="0"/>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color w:val="FF0000"/>
                <w:kern w:val="0"/>
                <w:sz w:val="24"/>
                <w:szCs w:val="24"/>
              </w:rPr>
            </w:pP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FF0000"/>
                <w:kern w:val="0"/>
                <w:sz w:val="24"/>
                <w:szCs w:val="24"/>
              </w:rPr>
            </w:pP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4"/>
                <w:szCs w:val="24"/>
              </w:rPr>
            </w:pPr>
            <w:r>
              <w:rPr>
                <w:color w:val="000000"/>
                <w:kern w:val="0"/>
                <w:sz w:val="24"/>
                <w:szCs w:val="24"/>
              </w:rPr>
              <w:t>权威期刊</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r>
              <w:rPr>
                <w:color w:val="000000"/>
                <w:kern w:val="0"/>
                <w:sz w:val="24"/>
                <w:szCs w:val="24"/>
              </w:rPr>
              <w:t>Solar Energy</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FF0000"/>
                <w:kern w:val="0"/>
                <w:sz w:val="24"/>
                <w:szCs w:val="24"/>
              </w:rPr>
            </w:pPr>
            <w:r>
              <w:rPr>
                <w:color w:val="000000"/>
                <w:kern w:val="0"/>
                <w:sz w:val="24"/>
                <w:szCs w:val="24"/>
              </w:rPr>
              <w:t>3区/4.674</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FF0000"/>
                <w:kern w:val="0"/>
                <w:sz w:val="18"/>
                <w:szCs w:val="18"/>
              </w:rPr>
            </w:pPr>
            <w:r>
              <w:rPr>
                <w:color w:val="000000"/>
                <w:kern w:val="0"/>
                <w:sz w:val="20"/>
                <w:szCs w:val="24"/>
              </w:rPr>
              <w:t>按照中科院小类分区的学科划分，2018年能源与燃料</w:t>
            </w:r>
            <w:r>
              <w:rPr>
                <w:rFonts w:hint="eastAsia"/>
                <w:color w:val="000000"/>
                <w:kern w:val="0"/>
                <w:sz w:val="20"/>
                <w:szCs w:val="24"/>
              </w:rPr>
              <w:t>类</w:t>
            </w:r>
            <w:r>
              <w:rPr>
                <w:color w:val="000000"/>
                <w:kern w:val="0"/>
                <w:sz w:val="20"/>
                <w:szCs w:val="24"/>
              </w:rPr>
              <w:t>期刊数量共计 95 本，按照5%计算，涉及提档的总数不超过5种。因为Solar Energy的影响因子在Energy&amp; Fuels能源与燃料小类分区3区杂志中排名第二，且在太阳能电池杂志领域具有较高的知名度，学术水平受到领域内研究学者的认可，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2</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J</w:t>
            </w:r>
            <w:r>
              <w:rPr>
                <w:rFonts w:hint="eastAsia"/>
                <w:color w:val="000000"/>
                <w:kern w:val="0"/>
                <w:sz w:val="24"/>
                <w:szCs w:val="24"/>
              </w:rPr>
              <w:t>ournal</w:t>
            </w:r>
            <w:r>
              <w:rPr>
                <w:color w:val="000000"/>
                <w:kern w:val="0"/>
                <w:sz w:val="24"/>
                <w:szCs w:val="24"/>
              </w:rPr>
              <w:t xml:space="preserve"> of Materials Science</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3区/</w:t>
            </w:r>
            <w:r>
              <w:rPr>
                <w:rFonts w:hint="eastAsia"/>
                <w:color w:val="000000"/>
                <w:kern w:val="0"/>
                <w:sz w:val="24"/>
                <w:szCs w:val="24"/>
              </w:rPr>
              <w:t>2.993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color w:val="FF0000"/>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FF0000"/>
                <w:kern w:val="0"/>
                <w:sz w:val="18"/>
                <w:szCs w:val="18"/>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期刊数量共计283 本，按照5%计算，涉及提档的总数不超过14种。因为Journal of Materials Science</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3</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Materials Letters</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3区/</w:t>
            </w:r>
            <w:r>
              <w:rPr>
                <w:rFonts w:hint="eastAsia"/>
                <w:color w:val="000000"/>
                <w:kern w:val="0"/>
                <w:sz w:val="24"/>
                <w:szCs w:val="24"/>
              </w:rPr>
              <w:t>2.687</w:t>
            </w:r>
          </w:p>
        </w:tc>
        <w:tc>
          <w:tcPr>
            <w:tcW w:w="851" w:type="dxa"/>
            <w:tcBorders>
              <w:top w:val="single" w:color="auto" w:sz="4" w:space="0"/>
              <w:left w:val="single" w:color="auto" w:sz="4" w:space="0"/>
              <w:bottom w:val="single" w:color="auto" w:sz="4" w:space="0"/>
              <w:right w:val="single" w:color="auto" w:sz="4" w:space="0"/>
            </w:tcBorders>
          </w:tcPr>
          <w:p>
            <w:pPr>
              <w:widowControl/>
              <w:jc w:val="center"/>
              <w:rPr>
                <w:color w:val="FF0000"/>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FF0000"/>
                <w:kern w:val="0"/>
                <w:sz w:val="24"/>
                <w:szCs w:val="24"/>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 283 本，按照5%计算，涉及提档的总数不超过14种。因为Materials Letters</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vMerge w:val="continue"/>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4</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 xml:space="preserve">Advanced </w:t>
            </w:r>
            <w:r>
              <w:rPr>
                <w:kern w:val="0"/>
                <w:sz w:val="24"/>
                <w:szCs w:val="24"/>
              </w:rPr>
              <w:t>M</w:t>
            </w:r>
            <w:r>
              <w:rPr>
                <w:rFonts w:hint="eastAsia"/>
                <w:kern w:val="0"/>
                <w:sz w:val="24"/>
                <w:szCs w:val="24"/>
              </w:rPr>
              <w:t>aterials Interfaces</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4.834</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 283 本，按照5%计算，涉及提档的总数不超过14种。因为Advanced Materials Interfaces</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vMerge w:val="continue"/>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Science China-Materials</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4.318</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 283 本，按照5%计算，涉及提档的总数不超过14种。因为Science China-Materials</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6</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Polymer Composites</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1.943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材料科学复合类</w:t>
            </w:r>
            <w:r>
              <w:rPr>
                <w:color w:val="000000"/>
                <w:kern w:val="0"/>
                <w:sz w:val="20"/>
                <w:szCs w:val="24"/>
              </w:rPr>
              <w:t>期刊数量共计 26 本，按照5%计算，涉及提档的总数不超过1种。因为Polymer Composites</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7</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Surface</w:t>
            </w:r>
            <w:r>
              <w:rPr>
                <w:rFonts w:hint="eastAsia"/>
                <w:kern w:val="0"/>
                <w:sz w:val="24"/>
                <w:szCs w:val="24"/>
              </w:rPr>
              <w:t xml:space="preserve"> &amp; C</w:t>
            </w:r>
            <w:r>
              <w:rPr>
                <w:kern w:val="0"/>
                <w:sz w:val="24"/>
                <w:szCs w:val="24"/>
              </w:rPr>
              <w:t>oatings Technology</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rFonts w:hint="eastAsia"/>
                <w:color w:val="000000"/>
                <w:kern w:val="0"/>
                <w:sz w:val="24"/>
                <w:szCs w:val="24"/>
              </w:rPr>
              <w:t>/</w:t>
            </w:r>
            <w:r>
              <w:rPr>
                <w:kern w:val="0"/>
                <w:sz w:val="24"/>
                <w:szCs w:val="24"/>
              </w:rPr>
              <w:t>2.906</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材料科学膜材料类</w:t>
            </w:r>
            <w:r>
              <w:rPr>
                <w:color w:val="000000"/>
                <w:kern w:val="0"/>
                <w:sz w:val="20"/>
                <w:szCs w:val="24"/>
              </w:rPr>
              <w:t>期刊数量共计 19 本，按照5%计算，涉及提档的总数不超过1种。因为Surface &amp; Coatings Technology</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8</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C</w:t>
            </w:r>
            <w:r>
              <w:rPr>
                <w:kern w:val="0"/>
                <w:sz w:val="24"/>
                <w:szCs w:val="24"/>
              </w:rPr>
              <w:t>orrosion</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1.927</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冶金工程类</w:t>
            </w:r>
            <w:r>
              <w:rPr>
                <w:color w:val="000000"/>
                <w:kern w:val="0"/>
                <w:sz w:val="20"/>
                <w:szCs w:val="24"/>
              </w:rPr>
              <w:t>期刊数量共计 75本，按照5%计算，涉及提档的总数不超过3</w:t>
            </w:r>
            <w:r>
              <w:rPr>
                <w:rFonts w:hint="eastAsia"/>
                <w:color w:val="000000"/>
                <w:kern w:val="0"/>
                <w:sz w:val="20"/>
                <w:szCs w:val="24"/>
              </w:rPr>
              <w:t>种。</w:t>
            </w:r>
            <w:r>
              <w:rPr>
                <w:color w:val="000000"/>
                <w:kern w:val="0"/>
                <w:sz w:val="20"/>
                <w:szCs w:val="24"/>
              </w:rPr>
              <w:t>因为Corrosion</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材料腐蚀</w:t>
            </w:r>
            <w:r>
              <w:rPr>
                <w:color w:val="000000"/>
                <w:kern w:val="0"/>
                <w:sz w:val="20"/>
                <w:szCs w:val="24"/>
              </w:rPr>
              <w:t>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9</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M</w:t>
            </w:r>
            <w:r>
              <w:rPr>
                <w:kern w:val="0"/>
                <w:sz w:val="24"/>
                <w:szCs w:val="24"/>
              </w:rPr>
              <w:t>aterials</w:t>
            </w:r>
            <w:r>
              <w:rPr>
                <w:rFonts w:hint="eastAsia"/>
                <w:kern w:val="0"/>
                <w:sz w:val="24"/>
                <w:szCs w:val="24"/>
              </w:rPr>
              <w:t xml:space="preserve"> </w:t>
            </w:r>
            <w:r>
              <w:rPr>
                <w:kern w:val="0"/>
                <w:sz w:val="24"/>
                <w:szCs w:val="24"/>
              </w:rPr>
              <w:t>and</w:t>
            </w:r>
            <w:r>
              <w:rPr>
                <w:rFonts w:hint="eastAsia"/>
                <w:kern w:val="0"/>
                <w:sz w:val="24"/>
                <w:szCs w:val="24"/>
              </w:rPr>
              <w:t xml:space="preserve"> C</w:t>
            </w:r>
            <w:r>
              <w:rPr>
                <w:kern w:val="0"/>
                <w:sz w:val="24"/>
                <w:szCs w:val="24"/>
              </w:rPr>
              <w:t>orrosion</w:t>
            </w:r>
            <w:r>
              <w:rPr>
                <w:rFonts w:hint="eastAsia"/>
                <w:kern w:val="0"/>
                <w:sz w:val="24"/>
                <w:szCs w:val="24"/>
              </w:rPr>
              <w:t>-W</w:t>
            </w:r>
            <w:r>
              <w:rPr>
                <w:kern w:val="0"/>
                <w:sz w:val="24"/>
                <w:szCs w:val="24"/>
              </w:rPr>
              <w:t>erkstoffe und Korrosion</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1.259</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冶金工程类</w:t>
            </w:r>
            <w:r>
              <w:rPr>
                <w:color w:val="000000"/>
                <w:kern w:val="0"/>
                <w:sz w:val="20"/>
                <w:szCs w:val="24"/>
              </w:rPr>
              <w:t>期刊数量共计 75本，按照5%计算，涉及提档的总数不超过3</w:t>
            </w:r>
            <w:r>
              <w:rPr>
                <w:rFonts w:hint="eastAsia"/>
                <w:color w:val="000000"/>
                <w:kern w:val="0"/>
                <w:sz w:val="20"/>
                <w:szCs w:val="24"/>
              </w:rPr>
              <w:t>。</w:t>
            </w:r>
            <w:r>
              <w:rPr>
                <w:color w:val="000000"/>
                <w:kern w:val="0"/>
                <w:sz w:val="20"/>
                <w:szCs w:val="24"/>
              </w:rPr>
              <w:t>因为Materials and Corrosion</w:t>
            </w:r>
            <w:r>
              <w:t>-</w:t>
            </w:r>
            <w:r>
              <w:rPr>
                <w:color w:val="000000"/>
                <w:kern w:val="0"/>
                <w:sz w:val="20"/>
                <w:szCs w:val="24"/>
              </w:rPr>
              <w:t>Werkstoffe und Korrosion</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材料腐蚀类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0</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ACS Biomaterials Science &amp; Engineering</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4.432</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材料科学生物材料类</w:t>
            </w:r>
            <w:r>
              <w:rPr>
                <w:color w:val="000000"/>
                <w:kern w:val="0"/>
                <w:sz w:val="20"/>
                <w:szCs w:val="24"/>
              </w:rPr>
              <w:t>期刊共计 33本，按照5%计算，涉及提档的总数不超过2种。因为ACS Biomaterials Science &amp; Engineering</w:t>
            </w:r>
            <w:r>
              <w:rPr>
                <w:rFonts w:hint="eastAsia"/>
                <w:color w:val="000000"/>
                <w:kern w:val="0"/>
                <w:sz w:val="20"/>
                <w:szCs w:val="24"/>
              </w:rPr>
              <w:t>期刊</w:t>
            </w:r>
            <w:r>
              <w:rPr>
                <w:color w:val="000000"/>
                <w:kern w:val="0"/>
                <w:sz w:val="20"/>
                <w:szCs w:val="24"/>
              </w:rPr>
              <w:t>在</w:t>
            </w:r>
            <w:r>
              <w:rPr>
                <w:rFonts w:hint="eastAsia"/>
                <w:color w:val="000000"/>
                <w:kern w:val="0"/>
                <w:sz w:val="20"/>
                <w:szCs w:val="24"/>
              </w:rPr>
              <w:t>生物材料类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1</w:t>
            </w:r>
          </w:p>
        </w:tc>
        <w:tc>
          <w:tcPr>
            <w:tcW w:w="184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widowControl/>
              <w:jc w:val="center"/>
              <w:rPr>
                <w:kern w:val="0"/>
                <w:sz w:val="24"/>
                <w:szCs w:val="24"/>
              </w:rPr>
            </w:pPr>
            <w:r>
              <w:rPr>
                <w:kern w:val="0"/>
                <w:sz w:val="24"/>
                <w:szCs w:val="24"/>
              </w:rPr>
              <w:t>Chemistry – A European Journal</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5.160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化学综合类</w:t>
            </w:r>
            <w:r>
              <w:rPr>
                <w:color w:val="000000"/>
                <w:kern w:val="0"/>
                <w:sz w:val="20"/>
                <w:szCs w:val="24"/>
              </w:rPr>
              <w:t>期刊数量共计</w:t>
            </w:r>
            <w:r>
              <w:rPr>
                <w:rFonts w:hint="eastAsia"/>
                <w:color w:val="000000"/>
                <w:kern w:val="0"/>
                <w:sz w:val="20"/>
                <w:szCs w:val="24"/>
              </w:rPr>
              <w:t>1</w:t>
            </w:r>
            <w:r>
              <w:rPr>
                <w:color w:val="000000"/>
                <w:kern w:val="0"/>
                <w:sz w:val="20"/>
                <w:szCs w:val="24"/>
              </w:rPr>
              <w:t>70本，按照5%计算，涉及提档的总数不超过8种。因为Chemistry–A European Journal</w:t>
            </w:r>
            <w:r>
              <w:rPr>
                <w:rFonts w:hint="eastAsia"/>
                <w:color w:val="000000"/>
                <w:kern w:val="0"/>
                <w:sz w:val="20"/>
                <w:szCs w:val="24"/>
              </w:rPr>
              <w:t>期刊</w:t>
            </w:r>
            <w:r>
              <w:rPr>
                <w:color w:val="000000"/>
                <w:kern w:val="0"/>
                <w:sz w:val="20"/>
                <w:szCs w:val="24"/>
              </w:rPr>
              <w:t>在</w:t>
            </w:r>
            <w:r>
              <w:rPr>
                <w:rFonts w:hint="eastAsia"/>
                <w:color w:val="000000"/>
                <w:kern w:val="0"/>
                <w:sz w:val="20"/>
                <w:szCs w:val="24"/>
              </w:rPr>
              <w:t>化学综合类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2</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Journal of Colloid and Interface Science</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color w:val="000000"/>
                <w:kern w:val="0"/>
                <w:sz w:val="24"/>
                <w:szCs w:val="24"/>
              </w:rPr>
              <w:t>3区/</w:t>
            </w:r>
            <w:r>
              <w:rPr>
                <w:kern w:val="0"/>
                <w:sz w:val="24"/>
                <w:szCs w:val="24"/>
              </w:rPr>
              <w:t>5.091</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color w:val="000000"/>
                <w:kern w:val="0"/>
                <w:sz w:val="20"/>
                <w:szCs w:val="24"/>
              </w:rPr>
              <w:t>按照中科院小类分区的学科划分，2018年</w:t>
            </w:r>
            <w:r>
              <w:rPr>
                <w:rFonts w:hint="eastAsia"/>
                <w:color w:val="000000"/>
                <w:kern w:val="0"/>
                <w:sz w:val="20"/>
                <w:szCs w:val="24"/>
              </w:rPr>
              <w:t>物理化学类</w:t>
            </w:r>
            <w:r>
              <w:rPr>
                <w:color w:val="000000"/>
                <w:kern w:val="0"/>
                <w:sz w:val="20"/>
                <w:szCs w:val="24"/>
              </w:rPr>
              <w:t>期刊数量共计</w:t>
            </w:r>
            <w:r>
              <w:rPr>
                <w:rFonts w:hint="eastAsia"/>
                <w:color w:val="000000"/>
                <w:kern w:val="0"/>
                <w:sz w:val="20"/>
                <w:szCs w:val="24"/>
              </w:rPr>
              <w:t>1</w:t>
            </w:r>
            <w:r>
              <w:rPr>
                <w:color w:val="000000"/>
                <w:kern w:val="0"/>
                <w:sz w:val="20"/>
                <w:szCs w:val="24"/>
              </w:rPr>
              <w:t>45本，按照5%计算，涉及提档的总数不超过7种。因为Journal of Colloid and Interface Science</w:t>
            </w:r>
            <w:r>
              <w:rPr>
                <w:rFonts w:hint="eastAsia"/>
                <w:color w:val="000000"/>
                <w:kern w:val="0"/>
                <w:sz w:val="20"/>
                <w:szCs w:val="24"/>
              </w:rPr>
              <w:t>期刊</w:t>
            </w:r>
            <w:r>
              <w:rPr>
                <w:color w:val="000000"/>
                <w:kern w:val="0"/>
                <w:sz w:val="20"/>
                <w:szCs w:val="24"/>
              </w:rPr>
              <w:t>在</w:t>
            </w:r>
            <w:r>
              <w:rPr>
                <w:rFonts w:hint="eastAsia"/>
                <w:color w:val="000000"/>
                <w:kern w:val="0"/>
                <w:sz w:val="20"/>
                <w:szCs w:val="24"/>
              </w:rPr>
              <w:t>物理化学类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3</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Computational Materials Science</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3区/2.530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color w:val="000000"/>
                <w:kern w:val="0"/>
                <w:sz w:val="20"/>
                <w:szCs w:val="24"/>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期刊数量共计283 本，按照5%计算，涉及提档的总数不超过14种。因为Computational Materials Science</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91"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4</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Materials Chemistry and Physics</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3区/2.210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color w:val="000000"/>
                <w:kern w:val="0"/>
                <w:sz w:val="20"/>
                <w:szCs w:val="24"/>
              </w:rPr>
            </w:pPr>
            <w:r>
              <w:rPr>
                <w:color w:val="000000"/>
                <w:kern w:val="0"/>
                <w:sz w:val="20"/>
                <w:szCs w:val="24"/>
              </w:rPr>
              <w:t>按照中科院小类分区的学科划分，2018年</w:t>
            </w:r>
            <w:r>
              <w:rPr>
                <w:rFonts w:hint="eastAsia"/>
                <w:color w:val="000000"/>
                <w:kern w:val="0"/>
                <w:sz w:val="20"/>
                <w:szCs w:val="24"/>
              </w:rPr>
              <w:t>材料科学综合类</w:t>
            </w:r>
            <w:r>
              <w:rPr>
                <w:color w:val="000000"/>
                <w:kern w:val="0"/>
                <w:sz w:val="20"/>
                <w:szCs w:val="24"/>
              </w:rPr>
              <w:t>期刊数量共计283 本，按照5%计算，涉及提档的总数不超过14种。因为Materials Chemistry and Physics</w:t>
            </w:r>
            <w:r>
              <w:rPr>
                <w:rFonts w:hint="eastAsia"/>
                <w:color w:val="000000"/>
                <w:kern w:val="0"/>
                <w:sz w:val="20"/>
                <w:szCs w:val="24"/>
              </w:rPr>
              <w:t>期刊</w:t>
            </w:r>
            <w:r>
              <w:rPr>
                <w:color w:val="000000"/>
                <w:kern w:val="0"/>
                <w:sz w:val="20"/>
                <w:szCs w:val="24"/>
              </w:rPr>
              <w:t>在</w:t>
            </w:r>
            <w:r>
              <w:rPr>
                <w:rFonts w:hint="eastAsia"/>
                <w:color w:val="000000"/>
                <w:kern w:val="0"/>
                <w:sz w:val="20"/>
                <w:szCs w:val="24"/>
              </w:rPr>
              <w:t>材料类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2034" w:hRule="atLeast"/>
        </w:trPr>
        <w:tc>
          <w:tcPr>
            <w:tcW w:w="993"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567" w:type="dxa"/>
            <w:tcBorders>
              <w:left w:val="single" w:color="auto" w:sz="4" w:space="0"/>
              <w:bottom w:val="single" w:color="auto" w:sz="4" w:space="0"/>
              <w:right w:val="single" w:color="auto" w:sz="4" w:space="0"/>
            </w:tcBorders>
            <w:vAlign w:val="center"/>
          </w:tcPr>
          <w:p>
            <w:pPr>
              <w:widowControl/>
              <w:jc w:val="left"/>
              <w:rPr>
                <w:color w:val="000000"/>
                <w:kern w:val="0"/>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1</w:t>
            </w:r>
            <w:r>
              <w:rPr>
                <w:kern w:val="0"/>
                <w:sz w:val="24"/>
                <w:szCs w:val="24"/>
              </w:rPr>
              <w:t>5</w:t>
            </w:r>
          </w:p>
        </w:tc>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International Biodeterioration &amp; Biodegradation</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4"/>
                <w:szCs w:val="24"/>
              </w:rPr>
            </w:pPr>
            <w:r>
              <w:rPr>
                <w:color w:val="000000"/>
                <w:kern w:val="0"/>
                <w:sz w:val="24"/>
                <w:szCs w:val="24"/>
              </w:rPr>
              <w:t>3区/3.562</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color w:val="000000"/>
                <w:kern w:val="0"/>
                <w:sz w:val="20"/>
                <w:szCs w:val="24"/>
              </w:rPr>
            </w:pPr>
            <w:r>
              <w:rPr>
                <w:color w:val="000000"/>
                <w:kern w:val="0"/>
                <w:sz w:val="20"/>
                <w:szCs w:val="24"/>
              </w:rPr>
              <w:t>按照中科院小类分区的学科划分，2018年</w:t>
            </w:r>
            <w:r>
              <w:rPr>
                <w:rFonts w:hint="eastAsia"/>
                <w:color w:val="000000"/>
                <w:kern w:val="0"/>
                <w:sz w:val="20"/>
                <w:szCs w:val="24"/>
              </w:rPr>
              <w:t>生物工程与应用微生物</w:t>
            </w:r>
            <w:r>
              <w:rPr>
                <w:color w:val="000000"/>
                <w:kern w:val="0"/>
                <w:sz w:val="20"/>
                <w:szCs w:val="24"/>
              </w:rPr>
              <w:t>期刊数量共计160本，按照5%计算，涉及提档的总数不超过8种。因为International Biodeterioration &amp; Biodegradation</w:t>
            </w:r>
            <w:r>
              <w:rPr>
                <w:rFonts w:hint="eastAsia"/>
                <w:color w:val="000000"/>
                <w:kern w:val="0"/>
                <w:sz w:val="20"/>
                <w:szCs w:val="24"/>
              </w:rPr>
              <w:t>期刊</w:t>
            </w:r>
            <w:r>
              <w:rPr>
                <w:color w:val="000000"/>
                <w:kern w:val="0"/>
                <w:sz w:val="20"/>
                <w:szCs w:val="24"/>
              </w:rPr>
              <w:t>在</w:t>
            </w:r>
            <w:r>
              <w:rPr>
                <w:rFonts w:hint="eastAsia"/>
                <w:color w:val="000000"/>
                <w:kern w:val="0"/>
                <w:sz w:val="20"/>
                <w:szCs w:val="24"/>
              </w:rPr>
              <w:t>微生物类</w:t>
            </w:r>
            <w:r>
              <w:rPr>
                <w:color w:val="000000"/>
                <w:kern w:val="0"/>
                <w:sz w:val="20"/>
                <w:szCs w:val="24"/>
              </w:rPr>
              <w:t>杂志领域具有较高的知名度，学术水平受到领域内研究学者的认可，</w:t>
            </w:r>
            <w:r>
              <w:rPr>
                <w:bCs/>
                <w:kern w:val="0"/>
                <w:sz w:val="18"/>
                <w:szCs w:val="18"/>
              </w:rPr>
              <w:t>故调入权威期刊目录。</w:t>
            </w:r>
          </w:p>
        </w:tc>
      </w:tr>
      <w:tr>
        <w:tblPrEx>
          <w:tblLayout w:type="fixed"/>
          <w:tblCellMar>
            <w:top w:w="0" w:type="dxa"/>
            <w:left w:w="108" w:type="dxa"/>
            <w:bottom w:w="0" w:type="dxa"/>
            <w:right w:w="108" w:type="dxa"/>
          </w:tblCellMar>
        </w:tblPrEx>
        <w:trPr>
          <w:trHeight w:val="331" w:hRule="atLeast"/>
        </w:trPr>
        <w:tc>
          <w:tcPr>
            <w:tcW w:w="5387"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color w:val="000000"/>
                <w:kern w:val="0"/>
                <w:sz w:val="24"/>
                <w:szCs w:val="24"/>
              </w:rPr>
            </w:pPr>
            <w:r>
              <w:rPr>
                <w:rFonts w:hint="eastAsia"/>
                <w:b/>
                <w:sz w:val="24"/>
                <w:szCs w:val="24"/>
              </w:rPr>
              <w:t>对于本单位未明确列出的属于学科交叉的刊物，是否参照校内其他单位</w:t>
            </w:r>
            <w:r>
              <w:rPr>
                <w:b/>
                <w:sz w:val="24"/>
                <w:szCs w:val="24"/>
              </w:rPr>
              <w:t>相关</w:t>
            </w:r>
            <w:r>
              <w:rPr>
                <w:rFonts w:hint="eastAsia"/>
                <w:b/>
                <w:sz w:val="24"/>
                <w:szCs w:val="24"/>
              </w:rPr>
              <w:t>学科的目录执行</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color w:val="000000"/>
                <w:kern w:val="0"/>
                <w:sz w:val="24"/>
                <w:szCs w:val="24"/>
              </w:rPr>
            </w:pPr>
            <w:r>
              <w:rPr>
                <w:rFonts w:hint="eastAsia" w:ascii="宋体" w:hAnsi="宋体"/>
                <w:b/>
                <w:color w:val="000000"/>
                <w:kern w:val="0"/>
                <w:sz w:val="24"/>
                <w:szCs w:val="24"/>
              </w:rPr>
              <w:t>√</w:t>
            </w:r>
            <w:r>
              <w:rPr>
                <w:rFonts w:hint="eastAsia"/>
                <w:b/>
                <w:color w:val="000000"/>
                <w:kern w:val="0"/>
                <w:sz w:val="24"/>
                <w:szCs w:val="24"/>
              </w:rPr>
              <w:t>是</w:t>
            </w:r>
          </w:p>
          <w:p>
            <w:pPr>
              <w:widowControl/>
              <w:snapToGrid w:val="0"/>
              <w:jc w:val="center"/>
              <w:rPr>
                <w:b/>
                <w:color w:val="000000"/>
                <w:kern w:val="0"/>
                <w:sz w:val="24"/>
                <w:szCs w:val="24"/>
              </w:rPr>
            </w:pPr>
            <w:r>
              <w:rPr>
                <w:rFonts w:hint="eastAsia" w:ascii="宋体" w:hAnsi="宋体"/>
                <w:b/>
                <w:color w:val="000000"/>
                <w:kern w:val="0"/>
                <w:sz w:val="24"/>
                <w:szCs w:val="24"/>
              </w:rPr>
              <w:t>□</w:t>
            </w:r>
            <w:r>
              <w:rPr>
                <w:rFonts w:hint="eastAsia"/>
                <w:b/>
                <w:color w:val="000000"/>
                <w:kern w:val="0"/>
                <w:sz w:val="24"/>
                <w:szCs w:val="24"/>
              </w:rPr>
              <w:t>否</w:t>
            </w:r>
          </w:p>
        </w:tc>
      </w:tr>
    </w:tbl>
    <w:p>
      <w:pPr>
        <w:spacing w:line="360" w:lineRule="auto"/>
      </w:pPr>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F667D"/>
    <w:multiLevelType w:val="multilevel"/>
    <w:tmpl w:val="117F667D"/>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0746C"/>
    <w:rsid w:val="00015752"/>
    <w:rsid w:val="0002290A"/>
    <w:rsid w:val="000A77BC"/>
    <w:rsid w:val="000C6942"/>
    <w:rsid w:val="000F232D"/>
    <w:rsid w:val="00103B87"/>
    <w:rsid w:val="001271A9"/>
    <w:rsid w:val="001408D2"/>
    <w:rsid w:val="00160679"/>
    <w:rsid w:val="001738BB"/>
    <w:rsid w:val="001A4359"/>
    <w:rsid w:val="001C7E92"/>
    <w:rsid w:val="00211229"/>
    <w:rsid w:val="00255A36"/>
    <w:rsid w:val="00255FEB"/>
    <w:rsid w:val="0027221B"/>
    <w:rsid w:val="002C18E7"/>
    <w:rsid w:val="002E565F"/>
    <w:rsid w:val="00313D4D"/>
    <w:rsid w:val="00332FC6"/>
    <w:rsid w:val="00376728"/>
    <w:rsid w:val="003779D0"/>
    <w:rsid w:val="003D57A3"/>
    <w:rsid w:val="004055B3"/>
    <w:rsid w:val="00417755"/>
    <w:rsid w:val="00425B60"/>
    <w:rsid w:val="0045385C"/>
    <w:rsid w:val="00470C8D"/>
    <w:rsid w:val="00476DFB"/>
    <w:rsid w:val="004A74D9"/>
    <w:rsid w:val="00502A13"/>
    <w:rsid w:val="00511BBE"/>
    <w:rsid w:val="005542DB"/>
    <w:rsid w:val="00564383"/>
    <w:rsid w:val="005C0914"/>
    <w:rsid w:val="005C1C79"/>
    <w:rsid w:val="00622733"/>
    <w:rsid w:val="00623F7A"/>
    <w:rsid w:val="006244C2"/>
    <w:rsid w:val="006B2C84"/>
    <w:rsid w:val="006B6E9C"/>
    <w:rsid w:val="007002D5"/>
    <w:rsid w:val="007072FF"/>
    <w:rsid w:val="00741C1A"/>
    <w:rsid w:val="0080274E"/>
    <w:rsid w:val="00872C40"/>
    <w:rsid w:val="00877F61"/>
    <w:rsid w:val="00881D4B"/>
    <w:rsid w:val="00893BBE"/>
    <w:rsid w:val="00894C26"/>
    <w:rsid w:val="008C41C5"/>
    <w:rsid w:val="008E01BB"/>
    <w:rsid w:val="008E29B7"/>
    <w:rsid w:val="00942454"/>
    <w:rsid w:val="0094535E"/>
    <w:rsid w:val="0097059F"/>
    <w:rsid w:val="00A344D1"/>
    <w:rsid w:val="00A41801"/>
    <w:rsid w:val="00A6610D"/>
    <w:rsid w:val="00AA0937"/>
    <w:rsid w:val="00AB7F2B"/>
    <w:rsid w:val="00AE63E9"/>
    <w:rsid w:val="00B47822"/>
    <w:rsid w:val="00B502B3"/>
    <w:rsid w:val="00B879BE"/>
    <w:rsid w:val="00BA6681"/>
    <w:rsid w:val="00C01809"/>
    <w:rsid w:val="00CD6F11"/>
    <w:rsid w:val="00CF4D94"/>
    <w:rsid w:val="00D01EAB"/>
    <w:rsid w:val="00D1134A"/>
    <w:rsid w:val="00D80B2E"/>
    <w:rsid w:val="00D97F93"/>
    <w:rsid w:val="00DA0880"/>
    <w:rsid w:val="00DA1781"/>
    <w:rsid w:val="00DC3FC8"/>
    <w:rsid w:val="00E60582"/>
    <w:rsid w:val="00E81568"/>
    <w:rsid w:val="00E87E3F"/>
    <w:rsid w:val="00ED4354"/>
    <w:rsid w:val="00EF1BFC"/>
    <w:rsid w:val="00EF3F6E"/>
    <w:rsid w:val="00F06920"/>
    <w:rsid w:val="00F921A0"/>
    <w:rsid w:val="101903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6"/>
    <w:uiPriority w:val="99"/>
    <w:pPr>
      <w:jc w:val="left"/>
    </w:pPr>
  </w:style>
  <w:style w:type="paragraph" w:styleId="3">
    <w:name w:val="Date"/>
    <w:basedOn w:val="1"/>
    <w:next w:val="1"/>
    <w:link w:val="15"/>
    <w:qFormat/>
    <w:uiPriority w:val="0"/>
    <w:pPr>
      <w:ind w:left="100" w:leftChars="2500"/>
    </w:pPr>
  </w:style>
  <w:style w:type="paragraph" w:styleId="4">
    <w:name w:val="Balloon Text"/>
    <w:basedOn w:val="1"/>
    <w:link w:val="14"/>
    <w:uiPriority w:val="0"/>
    <w:rPr>
      <w:sz w:val="18"/>
    </w:rPr>
  </w:style>
  <w:style w:type="paragraph" w:styleId="5">
    <w:name w:val="footer"/>
    <w:basedOn w:val="1"/>
    <w:link w:val="13"/>
    <w:uiPriority w:val="0"/>
    <w:pPr>
      <w:tabs>
        <w:tab w:val="center" w:pos="4153"/>
        <w:tab w:val="right" w:pos="8306"/>
      </w:tabs>
      <w:snapToGrid w:val="0"/>
      <w:jc w:val="left"/>
    </w:pPr>
    <w:rPr>
      <w:sz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rPr>
  </w:style>
  <w:style w:type="paragraph" w:styleId="7">
    <w:name w:val="annotation subject"/>
    <w:basedOn w:val="2"/>
    <w:next w:val="2"/>
    <w:link w:val="19"/>
    <w:uiPriority w:val="0"/>
    <w:rPr>
      <w:b/>
      <w:bCs/>
    </w:rPr>
  </w:style>
  <w:style w:type="character" w:styleId="10">
    <w:name w:val="page number"/>
    <w:basedOn w:val="9"/>
    <w:uiPriority w:val="0"/>
  </w:style>
  <w:style w:type="character" w:styleId="11">
    <w:name w:val="annotation reference"/>
    <w:uiPriority w:val="99"/>
    <w:rPr>
      <w:sz w:val="21"/>
      <w:szCs w:val="21"/>
    </w:rPr>
  </w:style>
  <w:style w:type="character" w:customStyle="1" w:styleId="12">
    <w:name w:val="页眉 字符"/>
    <w:basedOn w:val="9"/>
    <w:link w:val="6"/>
    <w:uiPriority w:val="0"/>
    <w:rPr>
      <w:rFonts w:ascii="Times New Roman" w:hAnsi="Times New Roman" w:eastAsia="宋体" w:cs="Times New Roman"/>
      <w:sz w:val="18"/>
      <w:szCs w:val="20"/>
    </w:rPr>
  </w:style>
  <w:style w:type="character" w:customStyle="1" w:styleId="13">
    <w:name w:val="页脚 字符"/>
    <w:basedOn w:val="9"/>
    <w:link w:val="5"/>
    <w:uiPriority w:val="0"/>
    <w:rPr>
      <w:rFonts w:ascii="Times New Roman" w:hAnsi="Times New Roman" w:eastAsia="宋体" w:cs="Times New Roman"/>
      <w:sz w:val="18"/>
      <w:szCs w:val="20"/>
    </w:rPr>
  </w:style>
  <w:style w:type="character" w:customStyle="1" w:styleId="14">
    <w:name w:val="批注框文本 字符"/>
    <w:basedOn w:val="9"/>
    <w:link w:val="4"/>
    <w:uiPriority w:val="0"/>
    <w:rPr>
      <w:rFonts w:ascii="Times New Roman" w:hAnsi="Times New Roman" w:eastAsia="宋体" w:cs="Times New Roman"/>
      <w:sz w:val="18"/>
      <w:szCs w:val="20"/>
    </w:rPr>
  </w:style>
  <w:style w:type="character" w:customStyle="1" w:styleId="15">
    <w:name w:val="日期 字符"/>
    <w:basedOn w:val="9"/>
    <w:link w:val="3"/>
    <w:uiPriority w:val="0"/>
    <w:rPr>
      <w:rFonts w:ascii="Times New Roman" w:hAnsi="Times New Roman" w:eastAsia="宋体" w:cs="Times New Roman"/>
      <w:szCs w:val="20"/>
    </w:rPr>
  </w:style>
  <w:style w:type="character" w:customStyle="1" w:styleId="16">
    <w:name w:val="批注文字 字符"/>
    <w:basedOn w:val="9"/>
    <w:link w:val="2"/>
    <w:uiPriority w:val="99"/>
    <w:rPr>
      <w:rFonts w:ascii="Times New Roman" w:hAnsi="Times New Roman" w:eastAsia="宋体" w:cs="Times New Roman"/>
      <w:szCs w:val="20"/>
    </w:rPr>
  </w:style>
  <w:style w:type="character" w:customStyle="1" w:styleId="17">
    <w:name w:val="批注文字 Char"/>
    <w:uiPriority w:val="0"/>
    <w:rPr>
      <w:kern w:val="2"/>
      <w:sz w:val="21"/>
    </w:rPr>
  </w:style>
  <w:style w:type="character" w:customStyle="1" w:styleId="18">
    <w:name w:val="批注主题 字符"/>
    <w:basedOn w:val="16"/>
    <w:semiHidden/>
    <w:uiPriority w:val="99"/>
    <w:rPr>
      <w:rFonts w:ascii="Times New Roman" w:hAnsi="Times New Roman" w:eastAsia="宋体" w:cs="Times New Roman"/>
      <w:b/>
      <w:bCs/>
      <w:szCs w:val="20"/>
    </w:rPr>
  </w:style>
  <w:style w:type="character" w:customStyle="1" w:styleId="19">
    <w:name w:val="批注主题 字符1"/>
    <w:link w:val="7"/>
    <w:uiPriority w:val="0"/>
    <w:rPr>
      <w:rFonts w:ascii="Times New Roman" w:hAnsi="Times New Roman" w:eastAsia="宋体" w:cs="Times New Roman"/>
      <w:b/>
      <w:bCs/>
      <w:szCs w:val="20"/>
    </w:rPr>
  </w:style>
  <w:style w:type="paragraph" w:customStyle="1" w:styleId="20">
    <w:name w:val="Revision"/>
    <w:hidden/>
    <w:unhideWhenUsed/>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608</Words>
  <Characters>3472</Characters>
  <Lines>28</Lines>
  <Paragraphs>8</Paragraphs>
  <TotalTime>1147</TotalTime>
  <ScaleCrop>false</ScaleCrop>
  <LinksUpToDate>false</LinksUpToDate>
  <CharactersWithSpaces>4072</CharactersWithSpaces>
  <Application>WPS Office_11.1.0.8931_F1E327BC-269C-435d-A152-05C5408002CA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2019-05-06T07:20:00Z</dcterms:created>
  <dc:creator>ouc</dc:creator>
  <cp:lastModifiedBy>吴菲婕</cp:lastModifiedBy>
  <cp:lastPrinted>2019-05-30T07:13:00Z</cp:lastPrinted>
  <dcterms:modified xsi:type="dcterms:W3CDTF">2019-07-31T03:15:05Z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