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eastAsia="zh-CN"/>
        </w:rPr>
      </w:pP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  <w:t>关于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eastAsia="zh-CN"/>
        </w:rPr>
        <w:t>开展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val="en-US" w:eastAsia="zh-CN"/>
        </w:rPr>
        <w:t>青岛市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  <w:t>202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val="en-US" w:eastAsia="zh-CN"/>
        </w:rPr>
        <w:t>1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  <w:t>年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eastAsia="zh-CN"/>
        </w:rPr>
        <w:t>第</w:t>
      </w:r>
      <w:r>
        <w:rPr>
          <w:rFonts w:ascii="方正小标宋_GBK" w:cs="方正小标宋_GBK" w:eastAsia="方正小标宋_GBK" w:hAnsi="方正小标宋_GBK" w:hint="default"/>
          <w:color w:val="auto"/>
          <w:spacing w:val="-20"/>
          <w:sz w:val="44"/>
          <w:szCs w:val="44"/>
          <w:lang w:val="en-US" w:eastAsia="zh-CN"/>
        </w:rPr>
        <w:t>二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eastAsia="zh-CN"/>
        </w:rPr>
        <w:t>次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  <w:t>博士后</w:t>
      </w: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  <w:lang w:eastAsia="zh-CN"/>
        </w:rPr>
        <w:t>资助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  <w:t>申报工作的通知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color w:val="auto"/>
          <w:spacing w:val="-20"/>
          <w:sz w:val="44"/>
          <w:szCs w:val="44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各区市人力资源和社会保障局、功能区管委人事部门、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博士后站（基地）设立单位、出站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（基地）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博士后在青工作单位：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40" w:firstLineChars="200"/>
        <w:jc w:val="left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根据《关于印发&lt;青岛市博士后培养留青资助实施细则&gt;的通知》（青人社发﹝2019﹞3号）有关要求，将于近期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开展</w:t>
      </w: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青岛市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2021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年第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次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博士后资助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申报工作，具体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通知如下：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一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  <w:t>、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申报资助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申报资助包括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建站（基地）资助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站（基地）科研资助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博士后生活及住房补贴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、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博士后安家补贴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、博士后应用研究项目资助等五项。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</w:pP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二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  <w:t>、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  <w:t>条件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和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  <w:t>材料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楷体" w:cs="仿宋_GB2312" w:eastAsia="楷体" w:hAnsi="楷体" w:hint="eastAsia"/>
          <w:color w:val="auto"/>
          <w:sz w:val="32"/>
          <w:szCs w:val="32"/>
          <w:highlight w:val="none"/>
        </w:rPr>
      </w:pPr>
      <w:r>
        <w:rPr>
          <w:rFonts w:ascii="楷体" w:cs="仿宋_GB2312" w:eastAsia="楷体" w:hAnsi="楷体" w:hint="eastAsia"/>
          <w:color w:val="auto"/>
          <w:sz w:val="32"/>
          <w:szCs w:val="32"/>
          <w:highlight w:val="none"/>
        </w:rPr>
        <w:t>（一）建站（基地）资助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2015年之后，新设立的流动站、工作站（不含分站）及基地在招收首位博士后进站并开题后，分别给予设站（基地）单位50万元、50万元、20万元的建站（基地）资助。已经申报过的不再申报。申报材料包括：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博士后进站介绍信或进站备案证明；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开题报告。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楷体" w:cs="仿宋_GB2312" w:eastAsia="楷体" w:hAnsi="楷体" w:hint="eastAsia"/>
          <w:color w:val="000000"/>
          <w:sz w:val="32"/>
          <w:szCs w:val="32"/>
          <w:highlight w:val="none"/>
        </w:rPr>
      </w:pPr>
      <w:r>
        <w:rPr>
          <w:rFonts w:ascii="楷体" w:cs="仿宋_GB2312" w:eastAsia="楷体" w:hAnsi="楷体" w:hint="eastAsia"/>
          <w:color w:val="000000"/>
          <w:sz w:val="32"/>
          <w:szCs w:val="32"/>
          <w:highlight w:val="none"/>
        </w:rPr>
        <w:t>（二）站(基地)科研资助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月之后，招收至少1名博士后进站后并开题的流动站、工作站、基地，每年分别给予5万元、5万元、2万元的科研资助。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每个站（基地）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每年只能申报一次。申报材料包括：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博士后进站介绍信或进站备案证明；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开题报告。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楷体" w:cs="仿宋_GB2312" w:eastAsia="楷体" w:hAnsi="楷体" w:hint="eastAsia"/>
          <w:color w:val="000000"/>
          <w:sz w:val="32"/>
          <w:szCs w:val="32"/>
          <w:highlight w:val="none"/>
        </w:rPr>
      </w:pPr>
      <w:r>
        <w:rPr>
          <w:rFonts w:ascii="楷体" w:cs="仿宋_GB2312" w:eastAsia="楷体" w:hAnsi="楷体" w:hint="eastAsia"/>
          <w:color w:val="000000"/>
          <w:sz w:val="32"/>
          <w:szCs w:val="32"/>
          <w:highlight w:val="none"/>
        </w:rPr>
        <w:t>（三）博士后生活及住房补贴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在站（基地）博士后（不含在职和两年期满未出站人员），给予202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月至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月的博士后生活及住房补贴（每月每人5000元）。以实际在站月数计算，已申报过的月份不可重复申报，自进站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基地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之月起最多申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报24个月。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楷体" w:cs="仿宋_GB2312" w:eastAsia="楷体" w:hAnsi="楷体" w:hint="eastAsia"/>
          <w:color w:val="auto"/>
          <w:sz w:val="32"/>
          <w:szCs w:val="32"/>
          <w:highlight w:val="none"/>
        </w:rPr>
      </w:pPr>
      <w:r>
        <w:rPr>
          <w:rFonts w:ascii="楷体" w:cs="仿宋_GB2312" w:eastAsia="楷体" w:hAnsi="楷体" w:hint="eastAsia"/>
          <w:color w:val="auto"/>
          <w:sz w:val="32"/>
          <w:szCs w:val="32"/>
          <w:highlight w:val="none"/>
        </w:rPr>
        <w:t>（</w:t>
      </w:r>
      <w:r>
        <w:rPr>
          <w:rFonts w:ascii="楷体" w:cs="仿宋_GB2312" w:eastAsia="楷体" w:hAnsi="楷体" w:hint="eastAsia"/>
          <w:color w:val="auto"/>
          <w:sz w:val="32"/>
          <w:szCs w:val="32"/>
          <w:highlight w:val="none"/>
          <w:lang w:eastAsia="zh-CN"/>
        </w:rPr>
        <w:t>四</w:t>
      </w:r>
      <w:r>
        <w:rPr>
          <w:rFonts w:ascii="楷体" w:cs="仿宋_GB2312" w:eastAsia="楷体" w:hAnsi="楷体" w:hint="eastAsia"/>
          <w:color w:val="auto"/>
          <w:sz w:val="32"/>
          <w:szCs w:val="32"/>
          <w:highlight w:val="none"/>
        </w:rPr>
        <w:t>）博士后安家补贴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2017年1月1日之后、2018年6月6日之前出站并于出站后6个月内在青岛办理就业手续且落户在青岛（不含入站前已在青且在职人员）的博士后，给予20万元安家补贴。安家补贴分两年给付，每次支付50%。博士后留青工作满1年后，申报第1次安家补贴；留青工作满2年后，申报第2次安家补贴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2018年6月6日之后出站并于出站后6个月内在青岛办理就业手续且落户在青岛（不含入站前已在青且在职人员）的博士后，给予其25万元安家补贴。安家补贴分两年给付，博士后留青工作满1年后，申报第1次安家补贴，为40%；留青工作满2年后，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申报第2次安家补贴，为60%。申报材料包括：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与工作单位订立的三年及以上期限劳动（聘用）合同；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社会保险对账单（打印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2020年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月至2021年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的社会保险缴纳证明）；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3.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博士后进站审核表；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4.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博士后工作期满审批表；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5.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  <w:t>户口簿等户籍相关证明材料。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color w:val="000000"/>
        </w:rPr>
      </w:pPr>
      <w:r>
        <w:rPr>
          <w:rFonts w:ascii="楷体" w:cs="仿宋_GB2312" w:eastAsia="楷体" w:hAnsi="楷体" w:hint="default"/>
          <w:color w:val="000000"/>
          <w:sz w:val="32"/>
          <w:szCs w:val="32"/>
          <w:highlight w:val="none"/>
        </w:rPr>
        <w:t>（</w:t>
      </w:r>
      <w:r>
        <w:rPr>
          <w:rFonts w:ascii="楷体" w:cs="仿宋_GB2312" w:eastAsia="楷体" w:hAnsi="楷体" w:hint="eastAsia"/>
          <w:color w:val="000000"/>
          <w:sz w:val="32"/>
          <w:szCs w:val="32"/>
          <w:highlight w:val="none"/>
          <w:lang w:eastAsia="zh-CN"/>
        </w:rPr>
        <w:t>五</w:t>
      </w:r>
      <w:r>
        <w:rPr>
          <w:rFonts w:ascii="楷体" w:cs="仿宋_GB2312" w:eastAsia="楷体" w:hAnsi="楷体" w:hint="default"/>
          <w:color w:val="000000"/>
          <w:sz w:val="32"/>
          <w:szCs w:val="32"/>
          <w:highlight w:val="none"/>
        </w:rPr>
        <w:t>）博士后应用研究项目资助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2021年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月至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月进站（基地）的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申报“</w:t>
      </w:r>
      <w:r>
        <w:rPr>
          <w:rFonts w:eastAsia="仿宋_GB2312" w:hint="default"/>
          <w:color w:val="000000"/>
          <w:sz w:val="32"/>
          <w:szCs w:val="32"/>
        </w:rPr>
        <w:t>具有创新性或创业前景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”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博士后应用研究项目资助的博士后，经单位从中择优推荐，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并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经专家评审通过后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给予5万元的博士后应用研究项目资助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单位推荐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博士后应用研究项目资助名额，根据单位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同期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进站（基地）博士后数量、博士后工作实际情况等综合确定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申报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材料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包括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：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博士后进站介绍信或进站备案证明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开题报告。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黑体" w:cs="仿宋_GB2312" w:eastAsia="黑体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黑体" w:cs="仿宋_GB2312" w:eastAsia="黑体" w:hAnsi="仿宋_GB2312" w:hint="eastAsia"/>
          <w:color w:val="000000"/>
          <w:sz w:val="32"/>
          <w:szCs w:val="32"/>
          <w:highlight w:val="none"/>
          <w:lang w:eastAsia="zh-CN"/>
        </w:rPr>
        <w:t>三</w:t>
      </w:r>
      <w:r>
        <w:rPr>
          <w:rFonts w:ascii="黑体" w:cs="仿宋_GB2312" w:eastAsia="黑体" w:hAnsi="仿宋_GB2312" w:hint="eastAsia"/>
          <w:color w:val="000000"/>
          <w:sz w:val="32"/>
          <w:szCs w:val="32"/>
          <w:highlight w:val="none"/>
        </w:rPr>
        <w:t>、</w:t>
      </w:r>
      <w:r>
        <w:rPr>
          <w:rFonts w:ascii="黑体" w:cs="仿宋_GB2312" w:eastAsia="黑体" w:hAnsi="仿宋_GB2312" w:hint="eastAsia"/>
          <w:color w:val="000000"/>
          <w:sz w:val="32"/>
          <w:szCs w:val="32"/>
          <w:highlight w:val="none"/>
          <w:lang w:eastAsia="zh-CN"/>
        </w:rPr>
        <w:t>申报时间和方式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eastAsia="zh-CN"/>
        </w:rPr>
        <w:t>申报时间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eastAsia="zh-CN"/>
        </w:rPr>
        <w:t>：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val="en-US" w:eastAsia="zh-CN"/>
        </w:rPr>
        <w:t>2021年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val="en-US" w:eastAsia="zh-CN"/>
        </w:rPr>
        <w:t>日</w:t>
      </w:r>
      <w:r>
        <w:rPr>
          <w:rFonts w:ascii="仿宋_GB2312" w:cs="仿宋_GB2312" w:hAnsi="仿宋_GB2312" w:hint="eastAsia"/>
          <w:color w:val="000000"/>
          <w:sz w:val="32"/>
          <w:szCs w:val="32"/>
          <w:highlight w:val="none"/>
          <w:lang w:val="en-US" w:eastAsia="zh-CN"/>
        </w:rPr>
        <w:t>至</w:t>
      </w:r>
      <w:r>
        <w:rPr>
          <w:rFonts w:ascii="仿宋_GB2312" w:cs="仿宋_GB2312" w:eastAsia="仿宋_GB2312" w:hAnsi="仿宋_GB2312" w:hint="default"/>
          <w:color w:val="000000"/>
          <w:sz w:val="32"/>
          <w:szCs w:val="32"/>
          <w:highlight w:val="none"/>
          <w:lang w:val="en-US" w:eastAsia="zh-CN"/>
        </w:rPr>
        <w:t>31日</w:t>
      </w:r>
      <w:r>
        <w:rPr>
          <w:rFonts w:ascii="仿宋_GB2312" w:cs="仿宋_GB2312" w:eastAsia="仿宋_GB2312" w:hAnsi="仿宋_GB2312" w:hint="eastAsia"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申报网址：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fldChar w:fldCharType="begin"/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instrText xml:space="preserve"> HYPERLINK "http://rc.qingdao.gov.cn（青岛人才网）；" </w:instrTex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fldChar w:fldCharType="separate"/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http://rc.qingdao.gov.cn（青岛人才网）；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fldChar w:fldCharType="end"/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各有关单位统一组织博士后网上申报并负责初审，青岛市人力资源和社会保障局负责终审（详见附件）</w:t>
      </w: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</w:pP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四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</w:rPr>
        <w:t>、有关</w:t>
      </w:r>
      <w:r>
        <w:rPr>
          <w:rFonts w:ascii="黑体" w:cs="仿宋_GB2312" w:eastAsia="黑体" w:hAnsi="仿宋_GB2312" w:hint="eastAsia"/>
          <w:color w:val="auto"/>
          <w:sz w:val="32"/>
          <w:szCs w:val="32"/>
          <w:highlight w:val="none"/>
          <w:lang w:eastAsia="zh-CN"/>
        </w:rPr>
        <w:t>说明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博士后科研流动站和博士后科研工作站联合培养的博士后，由博士后科研工作站组织申报；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博士后科研流动站和省博士后创新实践基地联合培养的博士后，由省博士后创新实践基地组织申报；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出站博士后所在工作单位应先注册后再申报；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银行账户必须是中国农业银行或交通银行，其他银行的不予拨付；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3.博士后资助申报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eastAsia="zh-CN"/>
        </w:rPr>
        <w:t>业务咨询电话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85912793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，技术支持电话</w:t>
      </w:r>
      <w:r>
        <w:rPr>
          <w:rFonts w:ascii="仿宋_GB2312" w:cs="仿宋_GB2312" w:eastAsia="仿宋_GB2312" w:hAnsi="仿宋_GB2312" w:hint="default"/>
          <w:color w:val="auto"/>
          <w:sz w:val="32"/>
          <w:szCs w:val="32"/>
          <w:highlight w:val="none"/>
          <w:lang w:val="en-US" w:eastAsia="zh-CN"/>
        </w:rPr>
        <w:t>88915202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（青岛人才网）。</w:t>
      </w:r>
    </w:p>
    <w:p>
      <w:pPr>
        <w:pStyle w:val="style0"/>
        <w:keepNext w:val="false"/>
        <w:keepLines w:val="false"/>
        <w:pageBreakBefore w:val="false"/>
        <w:widowControl/>
        <w:kinsoku/>
        <w:overflowPunct/>
        <w:topLinePunct w:val="false"/>
        <w:bidi w:val="false"/>
        <w:snapToGrid/>
        <w:spacing w:lineRule="exact" w:line="56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</w:pP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ind w:firstLine="640" w:firstLineChars="200"/>
        <w:textAlignment w:val="auto"/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/>
        </w:rPr>
      </w:pP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</w:rPr>
        <w:t>附件：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/>
        </w:rPr>
        <w:t>青岛</w:t>
      </w: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市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/>
        </w:rPr>
        <w:t>博士后资助</w:t>
      </w:r>
      <w:r>
        <w:rPr>
          <w:rFonts w:ascii="仿宋_GB2312" w:cs="仿宋_GB2312" w:hAnsi="仿宋_GB2312" w:hint="eastAsia"/>
          <w:color w:val="auto"/>
          <w:sz w:val="32"/>
          <w:szCs w:val="32"/>
          <w:highlight w:val="none"/>
          <w:lang w:val="en-US" w:eastAsia="zh-CN"/>
        </w:rPr>
        <w:t>系统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/>
        </w:rPr>
        <w:t>用户手册</w:t>
      </w: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bidi w:val="false"/>
        <w:snapToGrid/>
        <w:spacing w:lineRule="exact" w:line="560"/>
        <w:textAlignment w:val="auto"/>
        <w:rPr>
          <w:rFonts w:ascii="仿宋_GB2312" w:eastAsia="仿宋_GB2312" w:hAnsi="宋体" w:hint="eastAsia"/>
          <w:bCs/>
          <w:color w:val="auto"/>
          <w:spacing w:val="-20"/>
          <w:kern w:val="0"/>
          <w:sz w:val="32"/>
          <w:szCs w:val="32"/>
          <w:highlight w:val="none"/>
        </w:rPr>
      </w:pPr>
    </w:p>
    <w:p>
      <w:pPr>
        <w:pStyle w:val="style0"/>
        <w:keepNext w:val="false"/>
        <w:keepLines w:val="false"/>
        <w:pageBreakBefore w:val="false"/>
        <w:kinsoku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560"/>
        <w:jc w:val="left"/>
        <w:textAlignment w:val="auto"/>
        <w:rPr>
          <w:rFonts w:ascii="仿宋_GB2312" w:eastAsia="仿宋_GB2312" w:hAnsi="宋体" w:hint="eastAsia"/>
          <w:bCs/>
          <w:color w:val="auto"/>
          <w:spacing w:val="-20"/>
          <w:kern w:val="0"/>
          <w:sz w:val="32"/>
          <w:szCs w:val="32"/>
          <w:highlight w:val="none"/>
        </w:rPr>
      </w:pPr>
    </w:p>
    <w:p>
      <w:pPr>
        <w:pStyle w:val="style0"/>
        <w:keepNext w:val="false"/>
        <w:keepLines w:val="false"/>
        <w:pageBreakBefore w:val="false"/>
        <w:kinsoku/>
        <w:wordWrap w:val="false"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560"/>
        <w:jc w:val="right"/>
        <w:textAlignment w:val="auto"/>
        <w:rPr>
          <w:rFonts w:ascii="仿宋_GB2312" w:eastAsia="仿宋_GB2312" w:hint="default"/>
          <w:color w:val="auto"/>
          <w:sz w:val="32"/>
          <w:szCs w:val="32"/>
          <w:highlight w:val="none"/>
          <w:lang w:val="en-US" w:eastAsia="zh-CN"/>
        </w:rPr>
      </w:pPr>
      <w:r>
        <w:rPr>
          <w:rFonts w:ascii="仿宋_GB2312" w:eastAsia="仿宋_GB2312" w:hint="eastAsia"/>
          <w:color w:val="auto"/>
          <w:sz w:val="32"/>
          <w:szCs w:val="32"/>
          <w:highlight w:val="none"/>
        </w:rPr>
        <w:t>青岛市人力资源和社会保障局</w:t>
      </w:r>
      <w:r>
        <w:rPr>
          <w:rFonts w:ascii="仿宋_GB2312" w:hint="eastAsia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pStyle w:val="style0"/>
        <w:keepNext w:val="false"/>
        <w:keepLines w:val="false"/>
        <w:pageBreakBefore w:val="false"/>
        <w:kinsoku/>
        <w:wordWrap w:val="false"/>
        <w:overflowPunct/>
        <w:topLinePunct w:val="false"/>
        <w:autoSpaceDE w:val="false"/>
        <w:autoSpaceDN w:val="false"/>
        <w:bidi w:val="false"/>
        <w:adjustRightInd w:val="false"/>
        <w:snapToGrid/>
        <w:spacing w:lineRule="exact" w:line="560"/>
        <w:jc w:val="right"/>
        <w:textAlignment w:val="auto"/>
        <w:rPr>
          <w:rFonts w:ascii="仿宋_GB2312" w:cs="仿宋_GB2312" w:hAnsi="仿宋_GB2312"/>
          <w:color w:val="auto"/>
          <w:sz w:val="28"/>
          <w:szCs w:val="28"/>
        </w:rPr>
      </w:pPr>
      <w:r>
        <w:rPr>
          <w:rFonts w:ascii="仿宋_GB2312" w:eastAsia="仿宋_GB2312" w:hint="eastAsia"/>
          <w:color w:val="auto"/>
          <w:sz w:val="32"/>
          <w:szCs w:val="32"/>
          <w:highlight w:val="none"/>
        </w:rPr>
        <w:t>202</w:t>
      </w:r>
      <w:r>
        <w:rPr>
          <w:rFonts w:ascii="仿宋_GB2312" w:cs="仿宋_GB2312" w:eastAsia="仿宋_GB2312" w:hAnsi="仿宋_GB2312" w:hint="eastAsia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ascii="仿宋_GB2312" w:eastAsia="仿宋_GB2312" w:hint="eastAsia"/>
          <w:color w:val="auto"/>
          <w:sz w:val="32"/>
          <w:szCs w:val="32"/>
          <w:highlight w:val="none"/>
        </w:rPr>
        <w:t>年</w:t>
      </w:r>
      <w:r>
        <w:rPr>
          <w:rFonts w:ascii="仿宋_GB2312" w:hint="eastAsia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ascii="仿宋_GB2312" w:eastAsia="仿宋_GB2312" w:hint="eastAsia"/>
          <w:color w:val="auto"/>
          <w:sz w:val="32"/>
          <w:szCs w:val="32"/>
          <w:highlight w:val="none"/>
        </w:rPr>
        <w:t>月</w:t>
      </w:r>
      <w:r>
        <w:rPr>
          <w:rFonts w:ascii="仿宋_GB2312" w:hint="eastAsia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ascii="仿宋_GB2312" w:eastAsia="仿宋_GB2312" w:hint="eastAsia"/>
          <w:color w:val="auto"/>
          <w:sz w:val="32"/>
          <w:szCs w:val="32"/>
          <w:highlight w:val="none"/>
        </w:rPr>
        <w:t>日</w:t>
      </w:r>
      <w:r>
        <w:rPr>
          <w:rFonts w:ascii="仿宋_GB2312" w:hint="eastAsia"/>
          <w:color w:val="auto"/>
          <w:sz w:val="32"/>
          <w:szCs w:val="32"/>
          <w:highlight w:val="none"/>
          <w:lang w:val="en-US" w:eastAsia="zh-CN"/>
        </w:rPr>
        <w:t xml:space="preserve">             </w:t>
      </w:r>
    </w:p>
    <w:sectPr>
      <w:footerReference w:type="default" r:id="rId2"/>
      <w:headerReference w:type="first" r:id="rId3"/>
      <w:footerReference w:type="first" r:id="rId4"/>
      <w:pgSz w:w="11906" w:h="16838" w:orient="portrait"/>
      <w:pgMar w:top="2098" w:right="1474" w:bottom="1985" w:left="1588" w:header="851" w:footer="964" w:gutter="0"/>
      <w:pgNumType w:fmt="numberInDash"/>
      <w:cols w:space="720" w:num="1"/>
      <w:titlePg/>
      <w:docGrid w:type="linesAndChar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0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Verdana"/>
    <w:panose1 w:val="020b0604030000040204"/>
    <w:charset w:val="00"/>
    <w:family w:val="swiss"/>
    <w:pitch w:val="default"/>
    <w:sig w:usb0="A00006FF" w:usb1="4000205B" w:usb2="00000010" w:usb3="00000000" w:csb0="2000019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方正小标宋_GBK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altName w:val="楷体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文星标宋">
    <w:altName w:val="文星标宋"/>
    <w:panose1 w:val="02010604000000010101"/>
    <w:charset w:val="86"/>
    <w:family w:val="modern"/>
    <w:pitch w:val="default"/>
    <w:sig w:usb0="00000001" w:usb1="080E0000" w:usb2="00000000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Fonts w:ascii="仿宋_GB2312" w:hint="eastAsia"/>
        <w:sz w:val="28"/>
      </w:rPr>
    </w:pPr>
    <w:r>
      <w:rPr>
        <w:sz w:val="2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4097" name="文本框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jc w:val="center"/>
                            <w:rPr/>
                          </w:pP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ascii="宋体" w:cs="宋体" w:eastAsia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-12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jc w:val="center"/>
                      <w:rPr/>
                    </w:pP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ascii="宋体" w:cs="宋体" w:eastAsia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32"/>
      <w:rPr/>
    </w:pPr>
  </w:p>
</w:ftr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tbl>
    <w:tblPr>
      <w:tblStyle w:val="style105"/>
      <w:tblW w:w="9639" w:type="dxa"/>
      <w:jc w:val="center"/>
      <w:tblBorders>
        <w:top w:val="thickThinMediumGap" w:sz="24" w:space="0" w:color="ff0000"/>
        <w:left w:val="none" w:sz="0" w:space="0" w:color="auto"/>
        <w:bottom w:val="none" w:sz="0" w:space="0" w:color="auto"/>
        <w:right w:val="none" w:sz="0" w:space="0" w:color="auto"/>
        <w:insideH w:val="thickThinMediumGap" w:sz="24" w:space="0" w:color="ff0000"/>
        <w:insideV w:val="thickThinMediumGap" w:sz="24" w:space="0" w:color="ff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>
      <w:trPr>
        <w:trHeight w:val="113" w:hRule="exact"/>
        <w:jc w:val="center"/>
      </w:trPr>
      <w:tc>
        <w:tcPr>
          <w:tcW w:w="9639" w:type="dxa"/>
          <w:tcBorders/>
        </w:tcPr>
        <w:p>
          <w:pPr>
            <w:pStyle w:val="style32"/>
            <w:rPr/>
          </w:pPr>
          <w:r>
            <w:rPr/>
            <mc:AlternateContent>
              <mc:Choice Requires="wps">
                <w:drawing>
                  <wp:anchor distT="0" distB="0" distL="0" distR="0" simplePos="false" relativeHeight="3" behindDoc="false" locked="false" layoutInCell="true" allowOverlap="true">
                    <wp:simplePos x="0" y="0"/>
                    <wp:positionH relativeFrom="margin">
                      <wp:align>outside</wp:align>
                    </wp:positionH>
                    <wp:positionV relativeFrom="paragraph">
                      <wp:posOffset>0</wp:posOffset>
                    </wp:positionV>
                    <wp:extent cx="1828800" cy="1828800"/>
                    <wp:effectExtent l="0" t="0" r="0" b="0"/>
                    <wp:wrapNone/>
                    <wp:docPr id="4098" name="文本框 3"/>
                    <wp:cNvGraphicFramePr>
                      <a:graphicFrameLocks xmlns:a="http://schemas.openxmlformats.org/drawingml/2006/main" noChangeAspect="false" noSelect="false" noResize="false" noGrp="false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0">
                              <a:off x="0" y="0"/>
                              <a:ext cx="1828800" cy="182880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4098">
                            <w:txbxContent>
                              <w:p>
                                <w:pPr>
                                  <w:pStyle w:val="style0"/>
                                  <w:snapToGrid w:val="false"/>
                                  <w:rPr>
                                    <w:rFonts w:hint="eastAsia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lIns="0" rIns="0" tIns="0" bIns="0" wrap="none" upright="false">
                            <a:prstTxWarp prst="textNoShape"/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4098" filled="f" stroked="f" style="position:absolute;margin-left:0.0pt;margin-top:0.0pt;width:144.0pt;height:144.0pt;z-index:3;mso-position-horizontal:outside;mso-position-horizontal-relative:margin;mso-position-vertical-relative:text;mso-width-relative:page;mso-height-relative:page;mso-wrap-distance-left:0.0pt;mso-wrap-distance-right:0.0pt;visibility:visible;mso-wrap-style:none;">
                    <v:stroke on="f"/>
                    <v:fill/>
                    <v:textbox inset="0.0pt,0.0pt,0.0pt,0.0pt" style="mso-fit-shape-to-text:true;">
                      <w:txbxContent>
                        <w:p>
                          <w:pPr>
                            <w:pStyle w:val="style0"/>
                            <w:snapToGrid w:val="false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</w:tbl>
</w:ft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exact" w:line="600"/>
      <w:rPr>
        <w:rFonts w:hint="eastAsia"/>
      </w:rPr>
    </w:pPr>
  </w:p>
  <w:tbl>
    <w:tblPr>
      <w:tblStyle w:val="style105"/>
      <w:tblW w:w="9639" w:type="dxa"/>
      <w:jc w:val="center"/>
      <w:tblBorders>
        <w:top w:val="none" w:sz="0" w:space="0" w:color="auto"/>
        <w:left w:val="none" w:sz="0" w:space="0" w:color="auto"/>
        <w:bottom w:val="thinThickMediumGap" w:sz="24" w:space="0" w:color="ff0000"/>
        <w:right w:val="none" w:sz="0" w:space="0" w:color="auto"/>
        <w:insideH w:val="thinThickMediumGap" w:sz="24" w:space="0" w:color="ff0000"/>
        <w:insideV w:val="thinThickMediumGap" w:sz="24" w:space="0" w:color="ff000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639"/>
    </w:tblGrid>
    <w:tr>
      <w:trPr>
        <w:trHeight w:val="558" w:hRule="atLeast"/>
        <w:jc w:val="center"/>
      </w:trPr>
      <w:tc>
        <w:tcPr>
          <w:tcW w:w="9639" w:type="dxa"/>
          <w:tcBorders/>
          <w:tcMar>
            <w:left w:w="0" w:type="dxa"/>
            <w:right w:w="0" w:type="dxa"/>
          </w:tcMar>
        </w:tcPr>
        <w:p>
          <w:pPr>
            <w:pStyle w:val="style31"/>
            <w:rPr>
              <w:rFonts w:ascii="方正小标宋_GBK" w:eastAsia="方正小标宋_GBK" w:hint="eastAsia"/>
              <w:color w:val="ff0000"/>
              <w:sz w:val="66"/>
              <w:szCs w:val="66"/>
            </w:rPr>
          </w:pPr>
          <w:r>
            <w:rPr>
              <w:rFonts w:ascii="方正小标宋_GBK" w:eastAsia="方正小标宋_GBK" w:hAnsi="文星标宋" w:hint="eastAsia"/>
              <w:color w:val="ff0000"/>
              <w:w w:val="88"/>
              <w:position w:val="6"/>
              <w:sz w:val="80"/>
              <w:szCs w:val="80"/>
            </w:rPr>
            <w:t>青岛市人力资源和社会保障局</w:t>
          </w:r>
        </w:p>
      </w:tc>
    </w:tr>
  </w:tbl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HorizontalSpacing w:val="160"/>
  <w:drawingGridVerticalSpacing w:val="43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仿宋_GB2312" w:hAnsi="Times New Roman"/>
      <w:kern w:val="2"/>
      <w:sz w:val="32"/>
      <w:szCs w:val="32"/>
      <w:lang w:val="en-US" w:bidi="ar-SA" w:eastAsia="zh-CN"/>
    </w:rPr>
  </w:style>
  <w:style w:type="character" w:default="1" w:styleId="style65">
    <w:name w:val="Default Paragraph Font"/>
    <w:next w:val="style65"/>
    <w:link w:val="style4097"/>
    <w:qFormat/>
    <w:uiPriority w:val="1"/>
    <w:rPr>
      <w:rFonts w:ascii="Verdana" w:eastAsia="仿宋_GB2312" w:hAnsi="Verdana"/>
      <w:kern w:val="0"/>
      <w:sz w:val="24"/>
      <w:szCs w:val="20"/>
      <w:lang w:eastAsia="en-US"/>
    </w:rPr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0"/>
    <w:pPr>
      <w:autoSpaceDE w:val="false"/>
      <w:autoSpaceDN w:val="false"/>
      <w:adjustRightInd w:val="false"/>
      <w:snapToGrid w:val="false"/>
      <w:spacing w:lineRule="atLeast" w:line="600"/>
    </w:pPr>
    <w:rPr>
      <w:rFonts w:ascii="宋体"/>
      <w:spacing w:val="5"/>
      <w:kern w:val="0"/>
      <w:sz w:val="32"/>
      <w:szCs w:val="20"/>
    </w:rPr>
  </w:style>
  <w:style w:type="paragraph" w:styleId="style90">
    <w:name w:val="Plain Text"/>
    <w:basedOn w:val="style0"/>
    <w:next w:val="style90"/>
    <w:qFormat/>
    <w:uiPriority w:val="0"/>
    <w:pPr/>
    <w:rPr>
      <w:rFonts w:ascii="宋体" w:hAnsi="Courier New"/>
      <w:szCs w:val="20"/>
    </w:rPr>
  </w:style>
  <w:style w:type="paragraph" w:styleId="style76">
    <w:name w:val="Date"/>
    <w:basedOn w:val="style0"/>
    <w:next w:val="style0"/>
    <w:qFormat/>
    <w:uiPriority w:val="0"/>
    <w:pPr/>
    <w:rPr>
      <w:rFonts w:eastAsia="仿宋_GB2312"/>
      <w:spacing w:val="2"/>
      <w:sz w:val="32"/>
      <w:szCs w:val="20"/>
    </w:rPr>
  </w:style>
  <w:style w:type="paragraph" w:styleId="style153">
    <w:name w:val="Balloon Text"/>
    <w:basedOn w:val="style0"/>
    <w:next w:val="style153"/>
    <w:qFormat/>
    <w:uiPriority w:val="0"/>
    <w:pPr/>
    <w:rPr>
      <w:sz w:val="18"/>
      <w:szCs w:val="18"/>
    </w:r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0"/>
    <w:qFormat/>
    <w:uiPriority w:val="0"/>
    <w:pP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0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097">
    <w:name w:val=" Char Char Char Char"/>
    <w:basedOn w:val="style0"/>
    <w:next w:val="style4097"/>
    <w:link w:val="style65"/>
    <w:qFormat/>
    <w:uiPriority w:val="0"/>
    <w:pPr>
      <w:widowControl/>
      <w:spacing w:after="160" w:lineRule="exact" w:line="24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styleId="style41">
    <w:name w:val="page number"/>
    <w:basedOn w:val="style65"/>
    <w:next w:val="style41"/>
    <w:qFormat/>
    <w:uiPriority w:val="0"/>
    <w:rPr>
      <w:rFonts w:ascii="Verdana" w:cs="Times New Roman" w:eastAsia="仿宋_GB2312" w:hAnsi="Verdana"/>
      <w:kern w:val="0"/>
      <w:sz w:val="24"/>
      <w:szCs w:val="20"/>
      <w:lang w:eastAsia="en-US"/>
    </w:rPr>
  </w:style>
  <w:style w:type="character" w:styleId="style85">
    <w:name w:val="Hyperlink"/>
    <w:next w:val="style85"/>
    <w:qFormat/>
    <w:uiPriority w:val="99"/>
    <w:rPr>
      <w:rFonts w:cs="Times New Roman"/>
      <w:color w:val="auto"/>
      <w:u w:val="none"/>
    </w:rPr>
  </w:style>
  <w:style w:type="paragraph" w:customStyle="1" w:styleId="style4098">
    <w:name w:val=" Char Char Char Char Char Char Char Char Char Char Char Char Char Char Char Char"/>
    <w:basedOn w:val="style0"/>
    <w:next w:val="style4098"/>
    <w:qFormat/>
    <w:uiPriority w:val="0"/>
    <w:pPr/>
    <w:rPr>
      <w:rFonts w:ascii="仿宋_GB2312"/>
      <w:b/>
    </w:rPr>
  </w:style>
  <w:style w:type="character" w:customStyle="1" w:styleId="style4099">
    <w:name w:val="页脚 Char"/>
    <w:next w:val="style4099"/>
    <w:link w:val="style32"/>
    <w:qFormat/>
    <w:uiPriority w:val="99"/>
    <w:rPr>
      <w:kern w:val="2"/>
      <w:sz w:val="18"/>
      <w:szCs w:val="18"/>
    </w:rPr>
  </w:style>
  <w:style w:type="character" w:customStyle="1" w:styleId="style4100">
    <w:name w:val="页眉 Char"/>
    <w:next w:val="style4100"/>
    <w:link w:val="style31"/>
    <w:qFormat/>
    <w:uiPriority w:val="0"/>
    <w:rPr>
      <w:kern w:val="2"/>
      <w:sz w:val="18"/>
      <w:szCs w:val="18"/>
    </w:rPr>
  </w:style>
  <w:style w:type="character" w:customStyle="1" w:styleId="style4101">
    <w:name w:val="fontstyle01"/>
    <w:basedOn w:val="style65"/>
    <w:next w:val="style4101"/>
    <w:qFormat/>
    <w:uiPriority w:val="0"/>
    <w:rPr>
      <w:rFonts w:ascii="仿宋" w:eastAsia="仿宋" w:hAnsi="仿宋" w:hint="eastAsia"/>
      <w:color w:val="000000"/>
      <w:sz w:val="32"/>
      <w:szCs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9" Type="http://schemas.openxmlformats.org/officeDocument/2006/relationships/customXml" Target="../customXml/item1.xml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1428</Words>
  <Pages>1</Pages>
  <Characters>1546</Characters>
  <Application>WPS Office</Application>
  <DocSecurity>0</DocSecurity>
  <Paragraphs>62</Paragraphs>
  <ScaleCrop>false</ScaleCrop>
  <Company>Lenovo (Beijing) Limited</Company>
  <LinksUpToDate>false</LinksUpToDate>
  <CharactersWithSpaces>1569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2013-01-23T08:47:00Z</dcterms:created>
  <dc:creator>User</dc:creator>
  <lastModifiedBy>LE2110</lastModifiedBy>
  <lastPrinted>2021-06-17T06:47:00Z</lastPrinted>
  <dcterms:modified xsi:type="dcterms:W3CDTF">2021-12-03T04:18:29Z</dcterms:modified>
  <revision>8</revision>
  <dc:title>关于召开城投集团污水处理企业交接会议的通知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a2909c3a10dc4f5ba10c9f1449bd1a90</vt:lpwstr>
  </property>
  <property fmtid="{D5CDD505-2E9C-101B-9397-08002B2CF9AE}" pid="4" name="KSOSaveFontToCloudKey">
    <vt:lpwstr>13308191_cloud</vt:lpwstr>
  </property>
</Properties>
</file>